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30" w:rsidRDefault="001C2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tillium" w:eastAsia="Titillium" w:hAnsi="Titillium" w:cs="Titillium"/>
          <w:b/>
          <w:color w:val="000000"/>
          <w:sz w:val="22"/>
          <w:szCs w:val="22"/>
        </w:rPr>
      </w:pPr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DOMANDE </w:t>
      </w:r>
      <w:r>
        <w:rPr>
          <w:rFonts w:ascii="Titillium" w:eastAsia="Titillium" w:hAnsi="Titillium" w:cs="Titillium"/>
          <w:b/>
          <w:sz w:val="22"/>
          <w:szCs w:val="22"/>
        </w:rPr>
        <w:t>PIÙ</w:t>
      </w:r>
      <w:r>
        <w:rPr>
          <w:rFonts w:ascii="Titillium" w:eastAsia="Titillium" w:hAnsi="Titillium" w:cs="Titillium"/>
          <w:b/>
          <w:color w:val="000000"/>
          <w:sz w:val="22"/>
          <w:szCs w:val="22"/>
        </w:rPr>
        <w:t>’ FREQUENTI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jc w:val="both"/>
        <w:rPr>
          <w:rFonts w:ascii="Titillium" w:eastAsia="Titillium" w:hAnsi="Titillium" w:cs="Titillium"/>
          <w:color w:val="000000"/>
          <w:sz w:val="26"/>
          <w:szCs w:val="26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Cos’è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un</w:t>
      </w:r>
      <w:proofErr w:type="gram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workshop?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Qual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è </w:t>
      </w:r>
      <w:proofErr w:type="spellStart"/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il</w:t>
      </w:r>
      <w:proofErr w:type="spellEnd"/>
      <w:proofErr w:type="gram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suo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scopo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>?</w:t>
      </w:r>
    </w:p>
    <w:p w:rsidR="00062130" w:rsidRDefault="001C2350">
      <w:pPr>
        <w:pBdr>
          <w:top w:val="nil"/>
          <w:left w:val="nil"/>
          <w:bottom w:val="nil"/>
          <w:right w:val="nil"/>
          <w:between w:val="nil"/>
        </w:pBdr>
        <w:spacing w:after="120"/>
        <w:ind w:left="238"/>
        <w:jc w:val="both"/>
        <w:rPr>
          <w:rFonts w:ascii="Titillium" w:eastAsia="Titillium" w:hAnsi="Titillium" w:cs="Titillium"/>
          <w:color w:val="000000"/>
          <w:sz w:val="22"/>
          <w:szCs w:val="22"/>
        </w:rPr>
      </w:pP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I workshop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sessioni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approfondimento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sui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temi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Internet Governance in cui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viene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condiviso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o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più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esperti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promuovendo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discussione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fra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partecipanti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proponenti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del workshop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potranno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scegliere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discutere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sotto-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temi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indic</w:t>
      </w:r>
      <w:r>
        <w:rPr>
          <w:rFonts w:ascii="Titillium" w:eastAsia="Titillium" w:hAnsi="Titillium" w:cs="Titillium"/>
          <w:color w:val="000000"/>
          <w:sz w:val="22"/>
          <w:szCs w:val="22"/>
        </w:rPr>
        <w:t>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in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Appendice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raggruppati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in </w:t>
      </w:r>
      <w:proofErr w:type="gramStart"/>
      <w:r>
        <w:rPr>
          <w:rFonts w:ascii="Titillium" w:eastAsia="Titillium" w:hAnsi="Titillium" w:cs="Titillium"/>
          <w:sz w:val="22"/>
          <w:szCs w:val="22"/>
        </w:rPr>
        <w:t xml:space="preserve">cinque 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macro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>-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aree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tematiche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:</w:t>
      </w:r>
    </w:p>
    <w:p w:rsidR="00062130" w:rsidRDefault="001C2350">
      <w:pPr>
        <w:numPr>
          <w:ilvl w:val="0"/>
          <w:numId w:val="15"/>
        </w:numPr>
        <w:spacing w:line="276" w:lineRule="auto"/>
        <w:jc w:val="both"/>
        <w:rPr>
          <w:rFonts w:ascii="Titillium" w:eastAsia="Titillium" w:hAnsi="Titillium" w:cs="Titillium"/>
          <w:sz w:val="22"/>
          <w:szCs w:val="22"/>
        </w:rPr>
      </w:pPr>
      <w:r>
        <w:rPr>
          <w:rFonts w:ascii="Titillium" w:eastAsia="Titillium" w:hAnsi="Titillium" w:cs="Titillium"/>
          <w:sz w:val="22"/>
          <w:szCs w:val="22"/>
        </w:rPr>
        <w:t>IL DIRITTO DI ACCESSO AD INTERNET E INCLUSIONE A SALVAGUARDIA DELLO SVILUPPO ECONOMICO SOCIALE E DEI DIRITTI UMANI</w:t>
      </w:r>
    </w:p>
    <w:p w:rsidR="00062130" w:rsidRDefault="001C2350">
      <w:pPr>
        <w:numPr>
          <w:ilvl w:val="0"/>
          <w:numId w:val="15"/>
        </w:numPr>
        <w:spacing w:line="276" w:lineRule="auto"/>
        <w:jc w:val="both"/>
        <w:rPr>
          <w:rFonts w:ascii="Titillium" w:eastAsia="Titillium" w:hAnsi="Titillium" w:cs="Titillium"/>
          <w:sz w:val="22"/>
          <w:szCs w:val="22"/>
        </w:rPr>
      </w:pPr>
      <w:r>
        <w:rPr>
          <w:rFonts w:ascii="Titillium" w:eastAsia="Titillium" w:hAnsi="Titillium" w:cs="Titillium"/>
          <w:sz w:val="22"/>
          <w:szCs w:val="22"/>
        </w:rPr>
        <w:t xml:space="preserve">FIDUCIA E SICUREZZA. </w:t>
      </w:r>
    </w:p>
    <w:p w:rsidR="00062130" w:rsidRDefault="001C2350">
      <w:pPr>
        <w:numPr>
          <w:ilvl w:val="0"/>
          <w:numId w:val="15"/>
        </w:numPr>
        <w:spacing w:line="276" w:lineRule="auto"/>
        <w:jc w:val="both"/>
        <w:rPr>
          <w:rFonts w:ascii="Titillium" w:eastAsia="Titillium" w:hAnsi="Titillium" w:cs="Titillium"/>
          <w:sz w:val="22"/>
          <w:szCs w:val="22"/>
        </w:rPr>
      </w:pPr>
      <w:r>
        <w:rPr>
          <w:rFonts w:ascii="Titillium" w:eastAsia="Titillium" w:hAnsi="Titillium" w:cs="Titillium"/>
          <w:sz w:val="22"/>
          <w:szCs w:val="22"/>
        </w:rPr>
        <w:t>“FUTURE SOCIETIES” E NUOVE TECNOLOGIE (5G, AI, DISTRIBUTED CLOUD, IOT, BLOCKCHAIN</w:t>
      </w:r>
      <w:proofErr w:type="gramStart"/>
      <w:r>
        <w:rPr>
          <w:rFonts w:ascii="Titillium" w:eastAsia="Titillium" w:hAnsi="Titillium" w:cs="Titillium"/>
          <w:sz w:val="22"/>
          <w:szCs w:val="22"/>
        </w:rPr>
        <w:t>,QUANTUM</w:t>
      </w:r>
      <w:proofErr w:type="gramEnd"/>
      <w:r>
        <w:rPr>
          <w:rFonts w:ascii="Titillium" w:eastAsia="Titillium" w:hAnsi="Titillium" w:cs="Titillium"/>
          <w:sz w:val="22"/>
          <w:szCs w:val="22"/>
        </w:rPr>
        <w:t xml:space="preserve"> COMPUTING, EDGE COMPUTING...) </w:t>
      </w:r>
    </w:p>
    <w:p w:rsidR="00062130" w:rsidRDefault="001C2350">
      <w:pPr>
        <w:numPr>
          <w:ilvl w:val="0"/>
          <w:numId w:val="15"/>
        </w:numPr>
        <w:spacing w:line="276" w:lineRule="auto"/>
        <w:jc w:val="both"/>
        <w:rPr>
          <w:rFonts w:ascii="Titillium" w:eastAsia="Titillium" w:hAnsi="Titillium" w:cs="Titillium"/>
          <w:sz w:val="22"/>
          <w:szCs w:val="22"/>
        </w:rPr>
      </w:pPr>
      <w:r>
        <w:rPr>
          <w:rFonts w:ascii="Titillium" w:eastAsia="Titillium" w:hAnsi="Titillium" w:cs="Titillium"/>
          <w:sz w:val="22"/>
          <w:szCs w:val="22"/>
        </w:rPr>
        <w:t xml:space="preserve">GOVERNANCE DEI DATI: PRINCIPI ETICI NELLA GESTIONE E USO DEI DATI </w:t>
      </w:r>
    </w:p>
    <w:p w:rsidR="00062130" w:rsidRDefault="001C2350">
      <w:pPr>
        <w:numPr>
          <w:ilvl w:val="0"/>
          <w:numId w:val="15"/>
        </w:numPr>
        <w:spacing w:line="276" w:lineRule="auto"/>
        <w:jc w:val="both"/>
        <w:rPr>
          <w:rFonts w:ascii="Titillium" w:eastAsia="Titillium" w:hAnsi="Titillium" w:cs="Titillium"/>
          <w:sz w:val="22"/>
          <w:szCs w:val="22"/>
        </w:rPr>
      </w:pPr>
      <w:r>
        <w:rPr>
          <w:rFonts w:ascii="Titillium" w:eastAsia="Titillium" w:hAnsi="Titillium" w:cs="Titillium"/>
          <w:sz w:val="22"/>
          <w:szCs w:val="22"/>
        </w:rPr>
        <w:t>“GREENING THE INTERNET”: SOSTENIBILITÀ AMBIENTALE E ICT</w:t>
      </w:r>
    </w:p>
    <w:p w:rsidR="00062130" w:rsidRDefault="00062130">
      <w:pPr>
        <w:spacing w:line="276" w:lineRule="auto"/>
        <w:ind w:left="958"/>
        <w:jc w:val="both"/>
        <w:rPr>
          <w:rFonts w:ascii="Titillium" w:eastAsia="Titillium" w:hAnsi="Titillium" w:cs="Titillium"/>
          <w:sz w:val="22"/>
          <w:szCs w:val="22"/>
        </w:rPr>
      </w:pPr>
    </w:p>
    <w:p w:rsidR="00062130" w:rsidRDefault="001C2350">
      <w:pPr>
        <w:pBdr>
          <w:top w:val="nil"/>
          <w:left w:val="nil"/>
          <w:bottom w:val="nil"/>
          <w:right w:val="nil"/>
          <w:between w:val="nil"/>
        </w:pBdr>
        <w:spacing w:after="120"/>
        <w:ind w:left="238"/>
        <w:jc w:val="both"/>
        <w:rPr>
          <w:rFonts w:ascii="Titillium" w:eastAsia="Titillium" w:hAnsi="Titillium" w:cs="Titillium"/>
          <w:color w:val="000000"/>
          <w:sz w:val="22"/>
          <w:szCs w:val="22"/>
        </w:rPr>
      </w:pP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in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alternat</w:t>
      </w:r>
      <w:r>
        <w:rPr>
          <w:rFonts w:ascii="Titillium" w:eastAsia="Titillium" w:hAnsi="Titillium" w:cs="Titillium"/>
          <w:color w:val="000000"/>
          <w:sz w:val="22"/>
          <w:szCs w:val="22"/>
        </w:rPr>
        <w:t>iva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potranno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suggerire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un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nuovo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r>
        <w:rPr>
          <w:rFonts w:ascii="Titillium" w:eastAsia="Titillium" w:hAnsi="Titillium" w:cs="Titillium"/>
          <w:sz w:val="22"/>
          <w:szCs w:val="22"/>
        </w:rPr>
        <w:t>sotto-</w:t>
      </w:r>
      <w:proofErr w:type="spellStart"/>
      <w:r>
        <w:rPr>
          <w:rFonts w:ascii="Titillium" w:eastAsia="Titillium" w:hAnsi="Titillium" w:cs="Titillium"/>
          <w:sz w:val="22"/>
          <w:szCs w:val="22"/>
        </w:rPr>
        <w:t>tema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ind w:left="238"/>
        <w:jc w:val="both"/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jc w:val="both"/>
        <w:rPr>
          <w:rFonts w:ascii="Titillium" w:eastAsia="Titillium" w:hAnsi="Titillium" w:cs="Titillium"/>
          <w:color w:val="000000"/>
          <w:sz w:val="26"/>
          <w:szCs w:val="26"/>
        </w:rPr>
      </w:pPr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Chi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può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sottomettere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di workshop?</w:t>
      </w:r>
    </w:p>
    <w:p w:rsidR="00062130" w:rsidRDefault="001C2350">
      <w:pPr>
        <w:numPr>
          <w:ilvl w:val="0"/>
          <w:numId w:val="14"/>
        </w:numPr>
        <w:spacing w:before="120"/>
        <w:ind w:left="357" w:hanging="357"/>
        <w:jc w:val="both"/>
        <w:rPr>
          <w:rFonts w:ascii="Titillium" w:eastAsia="Titillium" w:hAnsi="Titillium" w:cs="Titillium"/>
          <w:color w:val="000000"/>
          <w:sz w:val="22"/>
          <w:szCs w:val="22"/>
        </w:rPr>
      </w:pP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Chiunque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può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sottomettere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workshop: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persona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singola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un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gruppo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persone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appartenenti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a stakeholder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diversi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(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società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civile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comunità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tecnica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,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settore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privato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governo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istituzioni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intergovernative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),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istituzioni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pubbliche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aziende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private,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ecc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E’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importante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nella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propria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sia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evidenziata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diversità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partecipanti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in termini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genere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provenienza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geografica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gruppo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stakehol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der.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privilegiate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workshop a cui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partecipano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giovani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(16-35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anni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)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anche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come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promotori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organizzatori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o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relatori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con </w:t>
      </w: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un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maggiore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grado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diversità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giudicate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più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favorevolmente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.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jc w:val="both"/>
        <w:rPr>
          <w:rFonts w:ascii="Titillium" w:eastAsia="Titillium" w:hAnsi="Titillium" w:cs="Titillium"/>
          <w:color w:val="000000"/>
          <w:sz w:val="26"/>
          <w:szCs w:val="26"/>
        </w:rPr>
      </w:pPr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Chi è </w:t>
      </w:r>
      <w:proofErr w:type="spellStart"/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il</w:t>
      </w:r>
      <w:proofErr w:type="spellEnd"/>
      <w:proofErr w:type="gram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proponente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? E chi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sono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gli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organizzatori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>?</w:t>
      </w:r>
    </w:p>
    <w:p w:rsidR="00062130" w:rsidRDefault="001C2350">
      <w:pPr>
        <w:pBdr>
          <w:top w:val="nil"/>
          <w:left w:val="nil"/>
          <w:bottom w:val="nil"/>
          <w:right w:val="nil"/>
          <w:between w:val="nil"/>
        </w:pBdr>
        <w:spacing w:after="120"/>
        <w:ind w:left="238"/>
        <w:jc w:val="both"/>
        <w:rPr>
          <w:b/>
          <w:color w:val="000000"/>
        </w:rPr>
      </w:pP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Colui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sottomette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workshop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compilando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modulo on line è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considerato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“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proponente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”,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cioè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referente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della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organizzatori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quelli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indicati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come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tali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in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fase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compil</w:t>
      </w:r>
      <w:r>
        <w:rPr>
          <w:rFonts w:ascii="Titillium" w:eastAsia="Titillium" w:hAnsi="Titillium" w:cs="Titillium"/>
          <w:color w:val="000000"/>
          <w:sz w:val="22"/>
          <w:szCs w:val="22"/>
        </w:rPr>
        <w:t>azione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del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modulo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responsabili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dell’organizzazione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del workshop. Durante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fase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valutazione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data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priorità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alle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dimostrino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favorire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diversità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genere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geografica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degli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stakeholder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privilegiata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partecipazion</w:t>
      </w:r>
      <w:r>
        <w:rPr>
          <w:rFonts w:ascii="Titillium" w:eastAsia="Titillium" w:hAnsi="Titillium" w:cs="Titillium"/>
          <w:color w:val="000000"/>
          <w:sz w:val="22"/>
          <w:szCs w:val="22"/>
        </w:rPr>
        <w:t>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giovani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(16-35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anni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).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ind w:left="240"/>
        <w:jc w:val="both"/>
        <w:rPr>
          <w:rFonts w:ascii="Titillium" w:eastAsia="Titillium" w:hAnsi="Titillium" w:cs="Titillium"/>
          <w:color w:val="000000"/>
          <w:sz w:val="26"/>
          <w:szCs w:val="26"/>
        </w:rPr>
      </w:pPr>
    </w:p>
    <w:p w:rsidR="00062130" w:rsidRDefault="001C23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jc w:val="both"/>
        <w:rPr>
          <w:rFonts w:ascii="Titillium" w:eastAsia="Titillium" w:hAnsi="Titillium" w:cs="Titillium"/>
          <w:color w:val="000000"/>
          <w:sz w:val="26"/>
          <w:szCs w:val="26"/>
        </w:rPr>
      </w:pPr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Chi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sono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i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relatori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>?</w:t>
      </w:r>
    </w:p>
    <w:p w:rsidR="00062130" w:rsidRDefault="001C2350">
      <w:pPr>
        <w:pBdr>
          <w:top w:val="nil"/>
          <w:left w:val="nil"/>
          <w:bottom w:val="nil"/>
          <w:right w:val="nil"/>
          <w:between w:val="nil"/>
        </w:pBdr>
        <w:spacing w:after="120"/>
        <w:ind w:left="238"/>
        <w:jc w:val="both"/>
        <w:rPr>
          <w:b/>
          <w:color w:val="000000"/>
        </w:rPr>
      </w:pP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relatori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hanno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particolare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specializzazione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nell’argomento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scelt</w:t>
      </w:r>
      <w:r>
        <w:rPr>
          <w:rFonts w:ascii="Titillium" w:eastAsia="Titillium" w:hAnsi="Titillium" w:cs="Titillium"/>
          <w:sz w:val="22"/>
          <w:szCs w:val="22"/>
        </w:rPr>
        <w:t>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Durante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fase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valutazione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data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priorità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alle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dimostrino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favorire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diversità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genere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geografica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degli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stakeholder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privilegiata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partecipazione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giovani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(16-35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anni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).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ind w:left="238"/>
        <w:jc w:val="both"/>
        <w:rPr>
          <w:rFonts w:ascii="Titillium" w:eastAsia="Titillium" w:hAnsi="Titillium" w:cs="Titillium"/>
          <w:color w:val="000000"/>
          <w:sz w:val="26"/>
          <w:szCs w:val="26"/>
        </w:rPr>
      </w:pPr>
    </w:p>
    <w:p w:rsidR="00062130" w:rsidRDefault="001C23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rFonts w:ascii="Titillium" w:eastAsia="Titillium" w:hAnsi="Titillium" w:cs="Titillium"/>
          <w:color w:val="000000"/>
          <w:sz w:val="22"/>
          <w:szCs w:val="22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Qual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è la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durata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e </w:t>
      </w:r>
      <w:proofErr w:type="spellStart"/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il</w:t>
      </w:r>
      <w:proofErr w:type="spellEnd"/>
      <w:proofErr w:type="gram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format di un worksh</w:t>
      </w:r>
      <w:r>
        <w:rPr>
          <w:rFonts w:ascii="Titillium" w:eastAsia="Titillium" w:hAnsi="Titillium" w:cs="Titillium"/>
          <w:b/>
          <w:color w:val="000000"/>
          <w:sz w:val="22"/>
          <w:szCs w:val="22"/>
        </w:rPr>
        <w:t>op?</w:t>
      </w:r>
      <w:r>
        <w:rPr>
          <w:rFonts w:ascii="Titillium" w:eastAsia="Titillium" w:hAnsi="Titillium" w:cs="Titillium"/>
          <w:color w:val="000000"/>
          <w:sz w:val="22"/>
          <w:szCs w:val="22"/>
        </w:rPr>
        <w:br/>
        <w:t xml:space="preserve">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durata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un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workshop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può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essere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30, 60 o 90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minuti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dipende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dal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formato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scelto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Per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maggiori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dettagli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consulti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Man</w:t>
      </w:r>
      <w:r>
        <w:rPr>
          <w:rFonts w:ascii="Titillium" w:eastAsia="Titillium" w:hAnsi="Titillium" w:cs="Titillium"/>
          <w:sz w:val="22"/>
          <w:szCs w:val="22"/>
        </w:rPr>
        <w:t>uale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 </w:t>
      </w:r>
      <w:r>
        <w:rPr>
          <w:rFonts w:ascii="Titillium" w:eastAsia="Titillium" w:hAnsi="Titillium" w:cs="Titillium"/>
          <w:color w:val="000000"/>
          <w:sz w:val="22"/>
          <w:szCs w:val="22"/>
        </w:rPr>
        <w:t>(</w:t>
      </w:r>
      <w:hyperlink r:id="rId8">
        <w:r>
          <w:rPr>
            <w:rFonts w:ascii="Titillium" w:eastAsia="Titillium" w:hAnsi="Titillium" w:cs="Titillium"/>
            <w:b/>
            <w:color w:val="2E769E"/>
            <w:sz w:val="22"/>
            <w:szCs w:val="22"/>
            <w:u w:val="single"/>
          </w:rPr>
          <w:t>Q</w:t>
        </w:r>
        <w:r>
          <w:rPr>
            <w:rFonts w:ascii="Titillium" w:eastAsia="Titillium" w:hAnsi="Titillium" w:cs="Titillium"/>
            <w:b/>
            <w:color w:val="2E769E"/>
            <w:sz w:val="22"/>
            <w:szCs w:val="22"/>
            <w:u w:val="single"/>
          </w:rPr>
          <w:t xml:space="preserve">ui </w:t>
        </w:r>
        <w:proofErr w:type="spellStart"/>
        <w:r>
          <w:rPr>
            <w:rFonts w:ascii="Titillium" w:eastAsia="Titillium" w:hAnsi="Titillium" w:cs="Titillium"/>
            <w:b/>
            <w:color w:val="2E769E"/>
            <w:sz w:val="22"/>
            <w:szCs w:val="22"/>
            <w:u w:val="single"/>
          </w:rPr>
          <w:t>il</w:t>
        </w:r>
        <w:proofErr w:type="spellEnd"/>
        <w:r>
          <w:rPr>
            <w:rFonts w:ascii="Titillium" w:eastAsia="Titillium" w:hAnsi="Titillium" w:cs="Titillium"/>
            <w:b/>
            <w:color w:val="2E769E"/>
            <w:sz w:val="22"/>
            <w:szCs w:val="22"/>
            <w:u w:val="single"/>
          </w:rPr>
          <w:t xml:space="preserve"> link per </w:t>
        </w:r>
        <w:proofErr w:type="spellStart"/>
        <w:r>
          <w:rPr>
            <w:rFonts w:ascii="Titillium" w:eastAsia="Titillium" w:hAnsi="Titillium" w:cs="Titillium"/>
            <w:b/>
            <w:color w:val="2E769E"/>
            <w:sz w:val="22"/>
            <w:szCs w:val="22"/>
            <w:u w:val="single"/>
          </w:rPr>
          <w:t>scaricare</w:t>
        </w:r>
        <w:proofErr w:type="spellEnd"/>
        <w:r>
          <w:rPr>
            <w:rFonts w:ascii="Titillium" w:eastAsia="Titillium" w:hAnsi="Titillium" w:cs="Titillium"/>
            <w:b/>
            <w:color w:val="2E769E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Titillium" w:eastAsia="Titillium" w:hAnsi="Titillium" w:cs="Titillium"/>
            <w:b/>
            <w:color w:val="2E769E"/>
            <w:sz w:val="22"/>
            <w:szCs w:val="22"/>
            <w:u w:val="single"/>
          </w:rPr>
          <w:t>il</w:t>
        </w:r>
        <w:proofErr w:type="spellEnd"/>
        <w:r>
          <w:rPr>
            <w:rFonts w:ascii="Titillium" w:eastAsia="Titillium" w:hAnsi="Titillium" w:cs="Titillium"/>
            <w:b/>
            <w:color w:val="2E769E"/>
            <w:sz w:val="22"/>
            <w:szCs w:val="22"/>
            <w:u w:val="single"/>
          </w:rPr>
          <w:t xml:space="preserve"> Pdf</w:t>
        </w:r>
      </w:hyperlink>
      <w:r>
        <w:rPr>
          <w:rFonts w:ascii="Titillium" w:eastAsia="Titillium" w:hAnsi="Titillium" w:cs="Titillium"/>
          <w:color w:val="000000"/>
          <w:sz w:val="22"/>
          <w:szCs w:val="22"/>
        </w:rPr>
        <w:t>)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rFonts w:ascii="Titillium" w:eastAsia="Titillium" w:hAnsi="Titillium" w:cs="Titillium"/>
          <w:b/>
          <w:color w:val="000000"/>
          <w:sz w:val="26"/>
          <w:szCs w:val="26"/>
        </w:rPr>
      </w:pPr>
      <w:bookmarkStart w:id="0" w:name="_heading=h.gjdgxs" w:colFirst="0" w:colLast="0"/>
      <w:bookmarkEnd w:id="0"/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lastRenderedPageBreak/>
        <w:t xml:space="preserve">Come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posso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sottomettere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mia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>?</w:t>
      </w:r>
      <w:proofErr w:type="gram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Qual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è la deadline?</w:t>
      </w:r>
      <w:r>
        <w:rPr>
          <w:rFonts w:ascii="Titillium" w:eastAsia="Titillium" w:hAnsi="Titillium" w:cs="Titillium"/>
          <w:color w:val="000000"/>
          <w:sz w:val="22"/>
          <w:szCs w:val="22"/>
        </w:rPr>
        <w:br/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Tutte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devono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essere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inviate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on line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compilando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modulo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disponibile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al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seguente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hyperlink r:id="rId9" w:history="1">
        <w:proofErr w:type="gramStart"/>
        <w:r w:rsidRPr="00D2690C">
          <w:rPr>
            <w:rStyle w:val="Collegamentoipertestuale"/>
            <w:rFonts w:ascii="Titillium" w:eastAsia="Titillium" w:hAnsi="Titillium" w:cs="Titillium"/>
            <w:sz w:val="22"/>
            <w:szCs w:val="22"/>
          </w:rPr>
          <w:t xml:space="preserve">link  </w:t>
        </w:r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>(</w:t>
        </w:r>
        <w:proofErr w:type="gramEnd"/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 xml:space="preserve">Qui </w:t>
        </w:r>
        <w:proofErr w:type="spellStart"/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>il</w:t>
        </w:r>
        <w:proofErr w:type="spellEnd"/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 xml:space="preserve"> link al Form)</w:t>
        </w:r>
      </w:hyperlink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. 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dovranno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essere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presentate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sz w:val="22"/>
          <w:szCs w:val="22"/>
        </w:rPr>
        <w:t>tra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r>
        <w:rPr>
          <w:rFonts w:ascii="Titillium" w:eastAsia="Titillium" w:hAnsi="Titillium" w:cs="Titillium"/>
          <w:b/>
          <w:sz w:val="22"/>
          <w:szCs w:val="22"/>
        </w:rPr>
        <w:t>10/6/2021</w:t>
      </w:r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r>
        <w:rPr>
          <w:rFonts w:ascii="Titillium" w:eastAsia="Titillium" w:hAnsi="Titillium" w:cs="Titillium"/>
          <w:b/>
          <w:sz w:val="22"/>
          <w:szCs w:val="22"/>
        </w:rPr>
        <w:t xml:space="preserve">e </w:t>
      </w:r>
      <w:proofErr w:type="spellStart"/>
      <w:r>
        <w:rPr>
          <w:rFonts w:ascii="Titillium" w:eastAsia="Titillium" w:hAnsi="Titillium" w:cs="Titillium"/>
          <w:b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r>
        <w:rPr>
          <w:rFonts w:ascii="Titillium" w:eastAsia="Titillium" w:hAnsi="Titillium" w:cs="Titillium"/>
          <w:b/>
          <w:sz w:val="22"/>
          <w:szCs w:val="22"/>
        </w:rPr>
        <w:t>10/7/</w:t>
      </w:r>
      <w:r>
        <w:rPr>
          <w:rFonts w:ascii="Titillium" w:eastAsia="Titillium" w:hAnsi="Titillium" w:cs="Titillium"/>
          <w:b/>
          <w:color w:val="000000"/>
          <w:sz w:val="22"/>
          <w:szCs w:val="22"/>
        </w:rPr>
        <w:t>2021.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rFonts w:ascii="Titillium" w:eastAsia="Titillium" w:hAnsi="Titillium" w:cs="Titillium"/>
          <w:color w:val="000000"/>
          <w:sz w:val="26"/>
          <w:szCs w:val="26"/>
        </w:rPr>
      </w:pPr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Vi</w:t>
      </w:r>
      <w:proofErr w:type="gram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è un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limite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al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numero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un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proponente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può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sottomettere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>?</w:t>
      </w:r>
      <w:r>
        <w:rPr>
          <w:rFonts w:ascii="Titillium" w:eastAsia="Titillium" w:hAnsi="Titillium" w:cs="Titillium"/>
          <w:color w:val="000000"/>
          <w:sz w:val="22"/>
          <w:szCs w:val="22"/>
        </w:rPr>
        <w:br/>
      </w: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U</w:t>
      </w:r>
      <w:r>
        <w:rPr>
          <w:rFonts w:ascii="Titillium" w:eastAsia="Titillium" w:hAnsi="Titillium" w:cs="Titillium"/>
          <w:sz w:val="22"/>
          <w:szCs w:val="22"/>
        </w:rPr>
        <w:t>n</w:t>
      </w:r>
      <w:proofErr w:type="gramEnd"/>
      <w:r>
        <w:rPr>
          <w:rFonts w:ascii="Titillium" w:eastAsia="Titillium" w:hAnsi="Titillium" w:cs="Titillium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sz w:val="22"/>
          <w:szCs w:val="22"/>
        </w:rPr>
        <w:t>proponente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può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sottomettere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al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massimo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3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.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rFonts w:ascii="Titillium" w:eastAsia="Titillium" w:hAnsi="Titillium" w:cs="Titillium"/>
          <w:color w:val="000000"/>
          <w:sz w:val="26"/>
          <w:szCs w:val="26"/>
        </w:rPr>
      </w:pPr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Vi</w:t>
      </w:r>
      <w:proofErr w:type="gram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è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quota di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partecipazione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da dover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pagare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per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effettuare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un workshop?</w:t>
      </w:r>
      <w:r>
        <w:rPr>
          <w:rFonts w:ascii="Titillium" w:eastAsia="Titillium" w:hAnsi="Titillium" w:cs="Titillium"/>
          <w:color w:val="000000"/>
          <w:sz w:val="22"/>
          <w:szCs w:val="22"/>
        </w:rPr>
        <w:br/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Non vi è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nessuna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quota o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tassa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da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pagare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 per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sottomettere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workshop né per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svolgere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workshop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durante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l’evento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IGF Italia 2021.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rFonts w:ascii="Titillium" w:eastAsia="Titillium" w:hAnsi="Titillium" w:cs="Titillium"/>
          <w:color w:val="000000"/>
          <w:sz w:val="22"/>
          <w:szCs w:val="22"/>
        </w:rPr>
      </w:pPr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Chi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parteciperà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all’evento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IGF Italia 2021?</w:t>
      </w:r>
      <w:r>
        <w:rPr>
          <w:rFonts w:ascii="Titillium" w:eastAsia="Titillium" w:hAnsi="Titillium" w:cs="Titillium"/>
          <w:color w:val="000000"/>
          <w:sz w:val="22"/>
          <w:szCs w:val="22"/>
        </w:rPr>
        <w:br/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Tutte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sessioni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dell’evento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IGF Italia 2021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aperte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tu</w:t>
      </w:r>
      <w:r>
        <w:rPr>
          <w:rFonts w:ascii="Titillium" w:eastAsia="Titillium" w:hAnsi="Titillium" w:cs="Titillium"/>
          <w:color w:val="000000"/>
          <w:sz w:val="22"/>
          <w:szCs w:val="22"/>
        </w:rPr>
        <w:t>tti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partecipanti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 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ind w:left="240"/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jc w:val="both"/>
        <w:rPr>
          <w:rFonts w:ascii="Titillium" w:eastAsia="Titillium" w:hAnsi="Titillium" w:cs="Titillium"/>
          <w:color w:val="000000"/>
          <w:sz w:val="26"/>
          <w:szCs w:val="26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cosa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si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intende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con “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unione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fra</w:t>
      </w:r>
      <w:proofErr w:type="spellEnd"/>
      <w:proofErr w:type="gram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due workshop”?</w:t>
      </w:r>
    </w:p>
    <w:p w:rsidR="00062130" w:rsidRDefault="001C23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38" w:hanging="238"/>
        <w:jc w:val="both"/>
        <w:rPr>
          <w:rFonts w:ascii="Titillium" w:eastAsia="Titillium" w:hAnsi="Titillium" w:cs="Titillium"/>
          <w:color w:val="000000"/>
          <w:sz w:val="26"/>
          <w:szCs w:val="26"/>
        </w:rPr>
      </w:pP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Se due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workshop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riguardano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temi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simili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Comitato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Programma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potrà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suggerire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sz w:val="22"/>
          <w:szCs w:val="22"/>
        </w:rPr>
        <w:t>unirle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 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in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un’unica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lasciando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agli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organizzatori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scelta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decidere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se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accettare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o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meno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suggerimento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L’obiettivo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è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quello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evitare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ridondanza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degli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argomenti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discutere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.</w:t>
      </w:r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tillium" w:eastAsia="Titillium" w:hAnsi="Titillium" w:cs="Titillium"/>
          <w:color w:val="000000"/>
          <w:sz w:val="22"/>
          <w:szCs w:val="22"/>
        </w:rPr>
      </w:pPr>
    </w:p>
    <w:p w:rsidR="00062130" w:rsidRDefault="001C23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rFonts w:ascii="Titillium" w:eastAsia="Titillium" w:hAnsi="Titillium" w:cs="Titillium"/>
          <w:color w:val="000000"/>
          <w:sz w:val="26"/>
          <w:szCs w:val="26"/>
        </w:rPr>
      </w:pPr>
      <w:proofErr w:type="gram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Come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sarà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valutata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di workshop?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br/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Il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Comitato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Programma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valuterà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tutte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workshop e </w:t>
      </w:r>
      <w:proofErr w:type="spellStart"/>
      <w:r>
        <w:rPr>
          <w:rFonts w:ascii="Titillium" w:eastAsia="Titillium" w:hAnsi="Titillium" w:cs="Titillium"/>
          <w:sz w:val="22"/>
          <w:szCs w:val="22"/>
        </w:rPr>
        <w:t>selezionando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migliori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Queste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inserite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nel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programma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IGF Italia 2021. 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criteri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valutazione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specificati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nel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seguente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r w:rsidR="00D2690C">
        <w:rPr>
          <w:rFonts w:ascii="Titillium" w:eastAsia="Titillium" w:hAnsi="Titillium" w:cs="Titillium"/>
          <w:color w:val="000000"/>
          <w:sz w:val="22"/>
          <w:szCs w:val="22"/>
        </w:rPr>
        <w:t>documen</w:t>
      </w:r>
      <w:r w:rsidR="00D2690C" w:rsidRPr="00D2690C">
        <w:rPr>
          <w:rFonts w:ascii="Titillium" w:eastAsia="Titillium" w:hAnsi="Titillium" w:cs="Titillium"/>
          <w:color w:val="000000"/>
          <w:sz w:val="22"/>
          <w:szCs w:val="22"/>
        </w:rPr>
        <w:t>t</w:t>
      </w:r>
      <w:r w:rsidR="00D2690C" w:rsidRPr="00D2690C">
        <w:rPr>
          <w:rFonts w:ascii="Titillium" w:eastAsia="Titillium" w:hAnsi="Titillium" w:cs="Titillium"/>
          <w:color w:val="2E769E"/>
          <w:sz w:val="22"/>
          <w:szCs w:val="22"/>
        </w:rPr>
        <w:t>.</w:t>
      </w:r>
      <w:hyperlink r:id="rId10" w:history="1"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 xml:space="preserve">(Qui </w:t>
        </w:r>
        <w:proofErr w:type="spellStart"/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>il</w:t>
        </w:r>
        <w:proofErr w:type="spellEnd"/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 xml:space="preserve"> Link)</w:t>
        </w:r>
      </w:hyperlink>
    </w:p>
    <w:p w:rsidR="00062130" w:rsidRDefault="00062130">
      <w:pPr>
        <w:pBdr>
          <w:top w:val="nil"/>
          <w:left w:val="nil"/>
          <w:bottom w:val="nil"/>
          <w:right w:val="nil"/>
          <w:between w:val="nil"/>
        </w:pBdr>
        <w:spacing w:after="120"/>
        <w:ind w:left="240"/>
        <w:rPr>
          <w:rFonts w:ascii="Titillium" w:eastAsia="Titillium" w:hAnsi="Titillium" w:cs="Titillium"/>
          <w:color w:val="000000"/>
          <w:sz w:val="26"/>
          <w:szCs w:val="26"/>
        </w:rPr>
      </w:pPr>
    </w:p>
    <w:p w:rsidR="00062130" w:rsidRDefault="001C23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38" w:hanging="238"/>
        <w:rPr>
          <w:rFonts w:ascii="Titillium" w:eastAsia="Titillium" w:hAnsi="Titillium" w:cs="Titillium"/>
          <w:color w:val="000000"/>
          <w:sz w:val="26"/>
          <w:szCs w:val="26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Quando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saprò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se la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mia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è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stata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selezionata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? E in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caso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sia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stata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selezionata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cosa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accadrà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dopo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>?</w:t>
      </w:r>
      <w:r>
        <w:rPr>
          <w:rFonts w:ascii="Titillium" w:eastAsia="Titillium" w:hAnsi="Titillium" w:cs="Titillium"/>
          <w:b/>
          <w:color w:val="000000"/>
          <w:sz w:val="22"/>
          <w:szCs w:val="22"/>
        </w:rPr>
        <w:br/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risultati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della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selezione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delle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proposte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comunicati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proponenti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entro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r>
        <w:rPr>
          <w:rFonts w:ascii="Titillium" w:eastAsia="Titillium" w:hAnsi="Titillium" w:cs="Titillium"/>
          <w:sz w:val="22"/>
          <w:szCs w:val="22"/>
        </w:rPr>
        <w:t xml:space="preserve"> 31</w:t>
      </w:r>
      <w:proofErr w:type="gramEnd"/>
      <w:r>
        <w:rPr>
          <w:rFonts w:ascii="Titillium" w:eastAsia="Titillium" w:hAnsi="Titillium" w:cs="Titillium"/>
          <w:sz w:val="22"/>
          <w:szCs w:val="22"/>
        </w:rPr>
        <w:t>/7/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2021. </w:t>
      </w:r>
    </w:p>
    <w:p w:rsidR="00062130" w:rsidRDefault="001C23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rFonts w:ascii="Titillium" w:eastAsia="Titillium" w:hAnsi="Titillium" w:cs="Titillium"/>
          <w:color w:val="000000"/>
          <w:sz w:val="22"/>
          <w:szCs w:val="22"/>
        </w:rPr>
      </w:pPr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Cosa fare per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sottomettere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proposta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di workshop ben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fatta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>?</w:t>
      </w:r>
    </w:p>
    <w:p w:rsidR="00062130" w:rsidRDefault="001C23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b/>
          <w:color w:val="000000"/>
          <w:sz w:val="26"/>
          <w:szCs w:val="26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Indicare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chiaramente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perché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l’argomento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scelto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è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rilevante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>.</w:t>
      </w:r>
      <w:r>
        <w:rPr>
          <w:rFonts w:ascii="Titillium" w:eastAsia="Titillium" w:hAnsi="Titillium" w:cs="Titillium"/>
          <w:b/>
          <w:color w:val="000000"/>
          <w:sz w:val="22"/>
          <w:szCs w:val="22"/>
        </w:rPr>
        <w:br/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E’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importante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esprimere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chiaramente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rilevanza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del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workshop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quali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punti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principali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affrontare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.</w:t>
      </w:r>
    </w:p>
    <w:p w:rsidR="00062130" w:rsidRDefault="001C23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b/>
          <w:color w:val="000000"/>
          <w:sz w:val="26"/>
          <w:szCs w:val="26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Spiegare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con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chiarezza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come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verrà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organizzata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discussione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.</w:t>
      </w:r>
      <w:r>
        <w:rPr>
          <w:rFonts w:ascii="Titillium" w:eastAsia="Titillium" w:hAnsi="Titillium" w:cs="Titillium"/>
          <w:color w:val="000000"/>
          <w:sz w:val="22"/>
          <w:szCs w:val="22"/>
        </w:rPr>
        <w:br/>
        <w:t xml:space="preserve">E’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importante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spiegare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struttura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della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discussione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Ad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esempio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per </w:t>
      </w:r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un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formato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tipo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“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dibattito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”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bisognerà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spiegare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quali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aspetti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della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questione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saranno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affrontati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l’agenda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tempistiche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assegnate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relatori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moderatori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e al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pubblico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.</w:t>
      </w:r>
    </w:p>
    <w:p w:rsidR="00062130" w:rsidRDefault="001C23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b/>
          <w:color w:val="2E769E"/>
          <w:sz w:val="26"/>
          <w:szCs w:val="26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Scegliere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durata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adeguata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br/>
        <w:t xml:space="preserve">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sessioni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possono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durare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30, 60 o 90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minuti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; 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è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op</w:t>
      </w:r>
      <w:r>
        <w:rPr>
          <w:rFonts w:ascii="Titillium" w:eastAsia="Titillium" w:hAnsi="Titillium" w:cs="Titillium"/>
          <w:color w:val="000000"/>
          <w:sz w:val="22"/>
          <w:szCs w:val="22"/>
        </w:rPr>
        <w:t>portuno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scegliere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il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formato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più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adatt</w:t>
      </w:r>
      <w:r>
        <w:rPr>
          <w:rFonts w:ascii="Titillium" w:eastAsia="Titillium" w:hAnsi="Titillium" w:cs="Titillium"/>
          <w:sz w:val="22"/>
          <w:szCs w:val="22"/>
        </w:rPr>
        <w:t>o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 al 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workshop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intende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presentare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Ad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esempio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se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desidera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fornire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breve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presentazione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su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un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argomento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Flash Session da 30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minuti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potrebbe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essere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un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buon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formato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con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buona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durata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I Panel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son</w:t>
      </w:r>
      <w:r>
        <w:rPr>
          <w:rFonts w:ascii="Titillium" w:eastAsia="Titillium" w:hAnsi="Titillium" w:cs="Titillium"/>
          <w:color w:val="000000"/>
          <w:sz w:val="22"/>
          <w:szCs w:val="22"/>
        </w:rPr>
        <w:t>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solitamente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riservati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per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sessioni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richiedono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tempi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più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lunghi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 E’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importante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sottolineare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come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differenti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formati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hanno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durate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diverse. 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diversi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formati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possono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essere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consultati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r w:rsidRPr="00D2690C">
        <w:rPr>
          <w:rFonts w:ascii="Titillium" w:eastAsia="Titillium" w:hAnsi="Titillium" w:cs="Titillium"/>
          <w:color w:val="000000"/>
          <w:sz w:val="22"/>
          <w:szCs w:val="22"/>
        </w:rPr>
        <w:t>qui</w:t>
      </w:r>
      <w:r w:rsidR="00D2690C" w:rsidRPr="00D2690C"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hyperlink r:id="rId11" w:history="1"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 xml:space="preserve">(Qui </w:t>
        </w:r>
        <w:proofErr w:type="spellStart"/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>il</w:t>
        </w:r>
        <w:proofErr w:type="spellEnd"/>
        <w:r w:rsidRPr="00D2690C">
          <w:rPr>
            <w:rStyle w:val="Collegamentoipertestuale"/>
            <w:rFonts w:ascii="Titillium" w:eastAsia="Titillium" w:hAnsi="Titillium" w:cs="Titillium"/>
            <w:b/>
            <w:sz w:val="22"/>
            <w:szCs w:val="22"/>
          </w:rPr>
          <w:t xml:space="preserve"> link)</w:t>
        </w:r>
      </w:hyperlink>
      <w:bookmarkStart w:id="1" w:name="_GoBack"/>
      <w:bookmarkEnd w:id="1"/>
    </w:p>
    <w:p w:rsidR="00062130" w:rsidRDefault="001C23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tillium" w:eastAsia="Titillium" w:hAnsi="Titillium" w:cs="Titillium"/>
          <w:b/>
          <w:color w:val="000000"/>
          <w:sz w:val="26"/>
          <w:szCs w:val="26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lastRenderedPageBreak/>
        <w:t>Prevedere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la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possibilità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partecipazione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online</w:t>
      </w:r>
      <w:r>
        <w:rPr>
          <w:rFonts w:ascii="Titillium" w:eastAsia="Titillium" w:hAnsi="Titillium" w:cs="Titillium"/>
          <w:color w:val="000000"/>
          <w:sz w:val="22"/>
          <w:szCs w:val="22"/>
        </w:rPr>
        <w:br/>
        <w:t xml:space="preserve">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relatori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possono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partecipare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alla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anche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onlin</w:t>
      </w:r>
      <w:r>
        <w:rPr>
          <w:rFonts w:ascii="Titillium" w:eastAsia="Titillium" w:hAnsi="Titillium" w:cs="Titillium"/>
          <w:sz w:val="22"/>
          <w:szCs w:val="22"/>
        </w:rPr>
        <w:t>e.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In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tal</w:t>
      </w:r>
      <w:proofErr w:type="spellEnd"/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caso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bisognerà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indicare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nel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campo “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Interventi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” del modulo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sottomissione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modalità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</w:t>
      </w:r>
      <w:r>
        <w:rPr>
          <w:rFonts w:ascii="Titillium" w:eastAsia="Titillium" w:hAnsi="Titillium" w:cs="Titillium"/>
          <w:color w:val="000000"/>
          <w:sz w:val="22"/>
          <w:szCs w:val="22"/>
        </w:rPr>
        <w:t>mplementative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(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apparecchiature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piattaforme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verranno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utilizzate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,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ecc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.). </w:t>
      </w:r>
    </w:p>
    <w:p w:rsidR="00062130" w:rsidRDefault="001C235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20" w:hanging="240"/>
        <w:rPr>
          <w:rFonts w:ascii="Titillium" w:eastAsia="Titillium" w:hAnsi="Titillium" w:cs="Titillium"/>
          <w:b/>
          <w:color w:val="000000"/>
          <w:sz w:val="26"/>
          <w:szCs w:val="26"/>
        </w:rPr>
      </w:pP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Assegnare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un rapporteur</w:t>
      </w:r>
      <w:r>
        <w:rPr>
          <w:rFonts w:ascii="Titillium" w:eastAsia="Titillium" w:hAnsi="Titillium" w:cs="Titillium"/>
          <w:b/>
          <w:color w:val="000000"/>
          <w:sz w:val="22"/>
          <w:szCs w:val="22"/>
        </w:rPr>
        <w:br/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Ogni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sessione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workshop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dovrà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indicare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un rapporteur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che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sz w:val="22"/>
          <w:szCs w:val="22"/>
        </w:rPr>
        <w:t>curerà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sz w:val="22"/>
          <w:szCs w:val="22"/>
        </w:rPr>
        <w:t>l’</w:t>
      </w:r>
      <w:r>
        <w:rPr>
          <w:rFonts w:ascii="Titillium" w:eastAsia="Titillium" w:hAnsi="Titillium" w:cs="Titillium"/>
          <w:color w:val="000000"/>
          <w:sz w:val="22"/>
          <w:szCs w:val="22"/>
        </w:rPr>
        <w:t>elabora</w:t>
      </w:r>
      <w:r>
        <w:rPr>
          <w:rFonts w:ascii="Titillium" w:eastAsia="Titillium" w:hAnsi="Titillium" w:cs="Titillium"/>
          <w:sz w:val="22"/>
          <w:szCs w:val="22"/>
        </w:rPr>
        <w:t>zione</w:t>
      </w:r>
      <w:proofErr w:type="spellEnd"/>
      <w:r>
        <w:rPr>
          <w:rFonts w:ascii="Titillium" w:eastAsia="Titillium" w:hAnsi="Titillium" w:cs="Titillium"/>
          <w:sz w:val="22"/>
          <w:szCs w:val="22"/>
        </w:rPr>
        <w:t xml:space="preserve"> de</w:t>
      </w:r>
      <w:r>
        <w:rPr>
          <w:rFonts w:ascii="Titillium" w:eastAsia="Titillium" w:hAnsi="Titillium" w:cs="Titillium"/>
          <w:color w:val="000000"/>
          <w:sz w:val="22"/>
          <w:szCs w:val="22"/>
        </w:rPr>
        <w:t xml:space="preserve">l report finale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della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tillium" w:eastAsia="Titillium" w:hAnsi="Titillium" w:cs="Titillium"/>
          <w:color w:val="000000"/>
          <w:sz w:val="22"/>
          <w:szCs w:val="22"/>
        </w:rPr>
        <w:t>sessione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.</w:t>
      </w:r>
      <w:proofErr w:type="gram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 report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dovranno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essere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trasmessi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al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Comitato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di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Programma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IGF Italia 2021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entro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una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b/>
          <w:color w:val="000000"/>
          <w:sz w:val="22"/>
          <w:szCs w:val="22"/>
        </w:rPr>
        <w:t>settimana</w:t>
      </w:r>
      <w:proofErr w:type="spellEnd"/>
      <w:r>
        <w:rPr>
          <w:rFonts w:ascii="Titillium" w:eastAsia="Titillium" w:hAnsi="Titillium" w:cs="Titillium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dalla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conclusione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</w:t>
      </w: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dell’evento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>.</w:t>
      </w:r>
    </w:p>
    <w:p w:rsidR="00062130" w:rsidRDefault="00062130">
      <w:pPr>
        <w:spacing w:after="120"/>
        <w:rPr>
          <w:rFonts w:ascii="Titillium" w:eastAsia="Titillium" w:hAnsi="Titillium" w:cs="Titillium"/>
          <w:color w:val="000000"/>
          <w:sz w:val="26"/>
          <w:szCs w:val="26"/>
        </w:rPr>
      </w:pPr>
    </w:p>
    <w:p w:rsidR="00062130" w:rsidRDefault="001C2350">
      <w:pPr>
        <w:spacing w:after="120"/>
        <w:rPr>
          <w:rFonts w:ascii="Titillium" w:eastAsia="Titillium" w:hAnsi="Titillium" w:cs="Titillium"/>
          <w:color w:val="000000"/>
          <w:sz w:val="22"/>
          <w:szCs w:val="22"/>
        </w:rPr>
      </w:pPr>
      <w:proofErr w:type="spellStart"/>
      <w:r>
        <w:rPr>
          <w:rFonts w:ascii="Titillium" w:eastAsia="Titillium" w:hAnsi="Titillium" w:cs="Titillium"/>
          <w:color w:val="000000"/>
          <w:sz w:val="22"/>
          <w:szCs w:val="22"/>
        </w:rPr>
        <w:t>Appendice</w:t>
      </w:r>
      <w:proofErr w:type="spellEnd"/>
      <w:r>
        <w:rPr>
          <w:rFonts w:ascii="Titillium" w:eastAsia="Titillium" w:hAnsi="Titillium" w:cs="Titillium"/>
          <w:color w:val="000000"/>
          <w:sz w:val="22"/>
          <w:szCs w:val="22"/>
        </w:rPr>
        <w:t xml:space="preserve"> I</w:t>
      </w:r>
    </w:p>
    <w:p w:rsidR="00062130" w:rsidRDefault="001C2350">
      <w:pPr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2"/>
          <w:szCs w:val="32"/>
        </w:rPr>
        <w:t>IGF ITALIA 2021 – TABELLA DEI TEMI E SOTTOTEMI DI RIFERIMENTO PER LE PROPOSTE DI WORKSHOP</w:t>
      </w:r>
    </w:p>
    <w:tbl>
      <w:tblPr>
        <w:tblStyle w:val="a0"/>
        <w:tblW w:w="11435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2240"/>
        <w:gridCol w:w="2565"/>
        <w:gridCol w:w="1890"/>
        <w:gridCol w:w="2380"/>
      </w:tblGrid>
      <w:tr w:rsidR="00062130">
        <w:trPr>
          <w:trHeight w:val="1628"/>
        </w:trPr>
        <w:tc>
          <w:tcPr>
            <w:tcW w:w="2360" w:type="dxa"/>
            <w:tcBorders>
              <w:bottom w:val="single" w:sz="4" w:space="0" w:color="000000"/>
            </w:tcBorders>
            <w:shd w:val="clear" w:color="auto" w:fill="92D050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b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>1. IL DIRITTO DI ACCESSO AD INTERNET E INCLUSIONE A SALVAGUARDIA DELLO SVILUPPO ECONOMICO SOCIALE E DEI DIRITTI UMANI</w:t>
            </w:r>
          </w:p>
          <w:p w:rsidR="00062130" w:rsidRDefault="000621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b/>
                <w:sz w:val="22"/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92D050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b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 xml:space="preserve">2. FIDUCIA E SICUREZZA </w:t>
            </w:r>
          </w:p>
          <w:p w:rsidR="00062130" w:rsidRDefault="000621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b/>
                <w:sz w:val="22"/>
                <w:szCs w:val="22"/>
              </w:rPr>
            </w:pPr>
          </w:p>
        </w:tc>
        <w:tc>
          <w:tcPr>
            <w:tcW w:w="2565" w:type="dxa"/>
            <w:tcBorders>
              <w:bottom w:val="single" w:sz="4" w:space="0" w:color="000000"/>
            </w:tcBorders>
            <w:shd w:val="clear" w:color="auto" w:fill="92D050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b/>
                <w:sz w:val="22"/>
                <w:szCs w:val="22"/>
              </w:rPr>
            </w:pPr>
            <w:proofErr w:type="gramStart"/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>3.</w:t>
            </w:r>
            <w:r>
              <w:rPr>
                <w:rFonts w:ascii="Titillium" w:eastAsia="Titillium" w:hAnsi="Titillium" w:cs="Titillium"/>
                <w:sz w:val="22"/>
                <w:szCs w:val="22"/>
              </w:rPr>
              <w:t xml:space="preserve"> </w:t>
            </w:r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>.</w:t>
            </w:r>
            <w:proofErr w:type="gramEnd"/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 xml:space="preserve"> “FUTURE SOCIETIES” E NUOVE TECNOLOGIE (5G, AI, DISTRIBUTED CLOUD, IOT, BLOCKCHAIN</w:t>
            </w:r>
            <w:proofErr w:type="gramStart"/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>,QUANTUM</w:t>
            </w:r>
            <w:proofErr w:type="gramEnd"/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 xml:space="preserve"> COMPUTING, EDGE C</w:t>
            </w:r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 xml:space="preserve">OMPUTING...) </w:t>
            </w:r>
          </w:p>
          <w:p w:rsidR="00062130" w:rsidRDefault="000621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92D050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b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>4. GOVERNANCE DEI DATI: PRINCIPI ETICI NELLA GESTIONE E NELL’USO DEI DATI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  <w:shd w:val="clear" w:color="auto" w:fill="92D050"/>
          </w:tcPr>
          <w:p w:rsidR="00062130" w:rsidRDefault="001C23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b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b/>
                <w:sz w:val="22"/>
                <w:szCs w:val="22"/>
              </w:rPr>
              <w:t>5. “GREENING THE INTERNET”: SOSTENIBILITÀ AMBIENTALE E ICT</w:t>
            </w:r>
          </w:p>
        </w:tc>
      </w:tr>
      <w:tr w:rsidR="00062130">
        <w:trPr>
          <w:trHeight w:val="772"/>
        </w:trPr>
        <w:tc>
          <w:tcPr>
            <w:tcW w:w="236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1.1 ACCESSO E CONNETTIVITÀ (DIGITAL DIVIDE)</w:t>
            </w:r>
          </w:p>
        </w:tc>
        <w:tc>
          <w:tcPr>
            <w:tcW w:w="224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2.1 CYBERSECURITY: ASPETTI TECNICI E POLITICI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3.1 INNOVAZIONE E SOVRANITÀ TECNOLOGICA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4.1 PRIVACY E PROTEZIONE DEI DATI PERSONALI E COMMERCIALI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5.1 DISPONIBILITÀ DI RISORSE NATURALI NELLA TRASFORMAZIONE DIGITALE</w:t>
            </w:r>
          </w:p>
        </w:tc>
      </w:tr>
      <w:tr w:rsidR="00062130">
        <w:trPr>
          <w:trHeight w:val="1708"/>
        </w:trPr>
        <w:tc>
          <w:tcPr>
            <w:tcW w:w="236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1.2 ACCESSIBILITÀ, INCLUSIONE DIGITALE, SOCIALE, CULTURALE ED ECONOMICA</w:t>
            </w:r>
          </w:p>
        </w:tc>
        <w:tc>
          <w:tcPr>
            <w:tcW w:w="224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2.2 FAKE NEWS: METODOLOGIE DI CONTRASTO ALLA DISINFORMAZIONE E MISINFORMAZIONE</w:t>
            </w:r>
          </w:p>
        </w:tc>
        <w:tc>
          <w:tcPr>
            <w:tcW w:w="2565" w:type="dxa"/>
            <w:shd w:val="clear" w:color="auto" w:fill="D9D9D9"/>
          </w:tcPr>
          <w:p w:rsidR="00062130" w:rsidRDefault="001C235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3.2 MODELLI DI BUSINESS</w:t>
            </w:r>
          </w:p>
        </w:tc>
        <w:tc>
          <w:tcPr>
            <w:tcW w:w="189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4.2 ALGORITMI E INTELLIGENZA ARTIFICIALE: BENEFICI, RISCHI E REGOLAMENTAZIONE</w:t>
            </w:r>
          </w:p>
        </w:tc>
        <w:tc>
          <w:tcPr>
            <w:tcW w:w="238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5.2 RISORSE ECONOMICHE (CAR SHARING</w:t>
            </w:r>
            <w:proofErr w:type="gramStart"/>
            <w:r>
              <w:rPr>
                <w:rFonts w:ascii="Titillium" w:eastAsia="Titillium" w:hAnsi="Titillium" w:cs="Titillium"/>
                <w:sz w:val="22"/>
                <w:szCs w:val="22"/>
              </w:rPr>
              <w:t>,  PIATTAFORME</w:t>
            </w:r>
            <w:proofErr w:type="gramEnd"/>
            <w:r>
              <w:rPr>
                <w:rFonts w:ascii="Titillium" w:eastAsia="Titillium" w:hAnsi="Titillium" w:cs="Titillium"/>
                <w:sz w:val="22"/>
                <w:szCs w:val="22"/>
              </w:rPr>
              <w:t xml:space="preserve"> E INFRASTRUTTURE  CONDIVI</w:t>
            </w:r>
            <w:r>
              <w:rPr>
                <w:rFonts w:ascii="Titillium" w:eastAsia="Titillium" w:hAnsi="Titillium" w:cs="Titillium"/>
                <w:sz w:val="22"/>
                <w:szCs w:val="22"/>
              </w:rPr>
              <w:t>SE IN AMBITO SMART CITY, ECC.)</w:t>
            </w:r>
          </w:p>
        </w:tc>
      </w:tr>
      <w:tr w:rsidR="00062130">
        <w:trPr>
          <w:trHeight w:val="870"/>
        </w:trPr>
        <w:tc>
          <w:tcPr>
            <w:tcW w:w="2360" w:type="dxa"/>
            <w:shd w:val="clear" w:color="auto" w:fill="D9D9D9"/>
          </w:tcPr>
          <w:p w:rsidR="00062130" w:rsidRDefault="001C235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1.3 TECNOLOGIE, INFRASTRUTTURE E DISPOSITIVI PER L'ACCESSIBILITÀ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D9D9D9"/>
          </w:tcPr>
          <w:p w:rsidR="00062130" w:rsidRDefault="001C235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2.3 DISCRIMINAZIONE, SALVAGUARDIA DEI MINORI IN RETE E CYBERBULLISMO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3.3 TECNOLOGIE EMERGENTI NEL MIGLIORAMENTO DELL’INCLUSIONE E DELLE NUOVE PROFESSIONI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4.3 DATI E SVILUPPO  ECONOMICO: MERCATI, COMPETITIVITÀ’ E MONOPOLI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5.3 RIDUZIONE DELL’IMPATTO AMBIENTALE E NUOVE TECNOLOGIE (BLOCKCHAIN, CLOUD COMPUTING, ECC...)</w:t>
            </w:r>
          </w:p>
        </w:tc>
      </w:tr>
      <w:tr w:rsidR="00062130">
        <w:trPr>
          <w:trHeight w:val="480"/>
        </w:trPr>
        <w:tc>
          <w:tcPr>
            <w:tcW w:w="236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lastRenderedPageBreak/>
              <w:t>1.4 E-DEMOCRACY: MEZZI DI COMUNICAZIONE E DEMOCRAZIA</w:t>
            </w:r>
          </w:p>
        </w:tc>
        <w:tc>
          <w:tcPr>
            <w:tcW w:w="2240" w:type="dxa"/>
            <w:shd w:val="clear" w:color="auto" w:fill="D9D9D9"/>
          </w:tcPr>
          <w:p w:rsidR="00062130" w:rsidRDefault="001C235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rFonts w:ascii="Titillium" w:eastAsia="Titillium" w:hAnsi="Titillium" w:cs="Titillium"/>
                <w:sz w:val="22"/>
                <w:szCs w:val="22"/>
              </w:rPr>
              <w:t xml:space="preserve">2.4 SALVAGUARDIA E RESILIENZA (POLICY, STANDARD E NORME) </w:t>
            </w:r>
          </w:p>
        </w:tc>
        <w:tc>
          <w:tcPr>
            <w:tcW w:w="2565" w:type="dxa"/>
            <w:shd w:val="clear" w:color="auto" w:fill="D9D9D9"/>
          </w:tcPr>
          <w:p w:rsidR="00062130" w:rsidRDefault="001C235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3.4 SOVRANITÀ DIGITALE E FRAMMENTAZIONE DI INTERNET</w:t>
            </w:r>
          </w:p>
        </w:tc>
        <w:tc>
          <w:tcPr>
            <w:tcW w:w="189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4.4 FLUSSO TRANSFRONTALIERO DEI DATI: REGIMI E GIURISDIZIONI (CLOUD, ECC...)</w:t>
            </w:r>
          </w:p>
        </w:tc>
        <w:tc>
          <w:tcPr>
            <w:tcW w:w="238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5.4 E-WASTE E MODELLI DI ECONOMIA CIRCOLARE, TERZO SETTORE</w:t>
            </w:r>
          </w:p>
        </w:tc>
      </w:tr>
      <w:tr w:rsidR="00062130">
        <w:trPr>
          <w:trHeight w:val="900"/>
        </w:trPr>
        <w:tc>
          <w:tcPr>
            <w:tcW w:w="236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1.5 DIRITTI DIGITALI E LIBERTÀ DI ESPRESSIONE. LA CARTA DEI DIRITTI DI INTERNET</w:t>
            </w:r>
          </w:p>
        </w:tc>
        <w:tc>
          <w:tcPr>
            <w:tcW w:w="224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2.5 HATE SPEECH: CONTRASTO AI DISCORSI D’ODIO IN RETE</w:t>
            </w:r>
          </w:p>
        </w:tc>
        <w:tc>
          <w:tcPr>
            <w:tcW w:w="2565" w:type="dxa"/>
            <w:shd w:val="clear" w:color="auto" w:fill="D9D9D9"/>
          </w:tcPr>
          <w:p w:rsidR="00062130" w:rsidRDefault="000621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  <w:highlight w:val="red"/>
              </w:rPr>
            </w:pPr>
          </w:p>
        </w:tc>
        <w:tc>
          <w:tcPr>
            <w:tcW w:w="1890" w:type="dxa"/>
            <w:shd w:val="clear" w:color="auto" w:fill="D9D9D9"/>
          </w:tcPr>
          <w:p w:rsidR="00062130" w:rsidRDefault="001C235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4.5 COOPERAZIONE E RESPONSABILITÀ DEGLI STAKEHOLDER E DELLE PIATTAFORME</w:t>
            </w:r>
          </w:p>
        </w:tc>
        <w:tc>
          <w:tcPr>
            <w:tcW w:w="238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5.5 SMART CITIES</w:t>
            </w:r>
          </w:p>
        </w:tc>
      </w:tr>
      <w:tr w:rsidR="00062130">
        <w:trPr>
          <w:trHeight w:val="900"/>
        </w:trPr>
        <w:tc>
          <w:tcPr>
            <w:tcW w:w="2360" w:type="dxa"/>
            <w:shd w:val="clear" w:color="auto" w:fill="D9D9D9"/>
          </w:tcPr>
          <w:p w:rsidR="00062130" w:rsidRDefault="001C235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 xml:space="preserve">1.6 COMPETENZE DIGITALI: RUOLO DEL SISTEMA SCOLASTICO, UNIVERSITARIO E DELLA RICERCA </w:t>
            </w:r>
          </w:p>
          <w:p w:rsidR="00062130" w:rsidRDefault="0006213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  <w:highlight w:val="red"/>
              </w:rPr>
            </w:pPr>
          </w:p>
          <w:p w:rsidR="00062130" w:rsidRDefault="0006213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  <w:highlight w:val="red"/>
              </w:rPr>
            </w:pPr>
          </w:p>
        </w:tc>
        <w:tc>
          <w:tcPr>
            <w:tcW w:w="2240" w:type="dxa"/>
            <w:shd w:val="clear" w:color="auto" w:fill="D9D9D9"/>
          </w:tcPr>
          <w:p w:rsidR="00062130" w:rsidRDefault="00062130">
            <w:pP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  <w:highlight w:val="red"/>
              </w:rPr>
            </w:pPr>
          </w:p>
        </w:tc>
        <w:tc>
          <w:tcPr>
            <w:tcW w:w="2565" w:type="dxa"/>
            <w:shd w:val="clear" w:color="auto" w:fill="D9D9D9"/>
          </w:tcPr>
          <w:p w:rsidR="00062130" w:rsidRDefault="000621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ascii="Titillium" w:eastAsia="Titillium" w:hAnsi="Titillium" w:cs="Titillium"/>
                <w:sz w:val="22"/>
                <w:szCs w:val="22"/>
                <w:highlight w:val="red"/>
              </w:rPr>
            </w:pPr>
          </w:p>
        </w:tc>
        <w:tc>
          <w:tcPr>
            <w:tcW w:w="1890" w:type="dxa"/>
            <w:shd w:val="clear" w:color="auto" w:fill="D9D9D9"/>
          </w:tcPr>
          <w:p w:rsidR="00062130" w:rsidRDefault="001C23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ind w:hanging="40"/>
              <w:jc w:val="center"/>
              <w:rPr>
                <w:rFonts w:ascii="Titillium" w:eastAsia="Titillium" w:hAnsi="Titillium" w:cs="Titillium"/>
                <w:sz w:val="22"/>
                <w:szCs w:val="22"/>
              </w:rPr>
            </w:pPr>
            <w:r>
              <w:rPr>
                <w:rFonts w:ascii="Titillium" w:eastAsia="Titillium" w:hAnsi="Titillium" w:cs="Titillium"/>
                <w:sz w:val="22"/>
                <w:szCs w:val="22"/>
              </w:rPr>
              <w:t>4.6 E-GOVERNMENT: AMMINISTRAZIONE DIGITALE</w:t>
            </w:r>
          </w:p>
        </w:tc>
        <w:tc>
          <w:tcPr>
            <w:tcW w:w="2380" w:type="dxa"/>
            <w:shd w:val="clear" w:color="auto" w:fill="D9D9D9"/>
          </w:tcPr>
          <w:p w:rsidR="00062130" w:rsidRDefault="000621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ind w:hanging="40"/>
              <w:jc w:val="center"/>
              <w:rPr>
                <w:rFonts w:ascii="Titillium" w:eastAsia="Titillium" w:hAnsi="Titillium" w:cs="Titillium"/>
                <w:sz w:val="22"/>
                <w:szCs w:val="22"/>
                <w:highlight w:val="red"/>
              </w:rPr>
            </w:pPr>
          </w:p>
        </w:tc>
      </w:tr>
    </w:tbl>
    <w:p w:rsidR="00062130" w:rsidRDefault="0006213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062130" w:rsidRDefault="00062130">
      <w:pPr>
        <w:spacing w:after="120"/>
        <w:rPr>
          <w:rFonts w:ascii="Titillium" w:eastAsia="Titillium" w:hAnsi="Titillium" w:cs="Titillium"/>
          <w:sz w:val="26"/>
          <w:szCs w:val="26"/>
          <w:highlight w:val="yellow"/>
        </w:rPr>
      </w:pPr>
      <w:bookmarkStart w:id="3" w:name="_heading=h.c07ovpnv4fmy" w:colFirst="0" w:colLast="0"/>
      <w:bookmarkEnd w:id="3"/>
    </w:p>
    <w:sectPr w:rsidR="00062130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50" w:rsidRDefault="001C2350">
      <w:r>
        <w:separator/>
      </w:r>
    </w:p>
  </w:endnote>
  <w:endnote w:type="continuationSeparator" w:id="0">
    <w:p w:rsidR="001C2350" w:rsidRDefault="001C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30" w:rsidRDefault="001C23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tillium" w:eastAsia="Titillium" w:hAnsi="Titillium" w:cs="Titillium"/>
        <w:color w:val="276F77"/>
      </w:rPr>
    </w:pPr>
    <w:bookmarkStart w:id="4" w:name="_heading=h.1fob9te" w:colFirst="0" w:colLast="0"/>
    <w:bookmarkEnd w:id="4"/>
    <w:r>
      <w:rPr>
        <w:rFonts w:ascii="Titillium" w:eastAsia="Titillium" w:hAnsi="Titillium" w:cs="Titillium"/>
        <w:color w:val="276F77"/>
      </w:rPr>
      <w:t>www.igfitalia.org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50" w:rsidRDefault="001C2350">
      <w:r>
        <w:separator/>
      </w:r>
    </w:p>
  </w:footnote>
  <w:footnote w:type="continuationSeparator" w:id="0">
    <w:p w:rsidR="001C2350" w:rsidRDefault="001C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30" w:rsidRDefault="001C2350">
    <w:pPr>
      <w:jc w:val="center"/>
    </w:pPr>
    <w:r>
      <w:rPr>
        <w:noProof/>
        <w:lang w:val="it-IT" w:eastAsia="it-IT"/>
      </w:rPr>
      <w:drawing>
        <wp:inline distT="0" distB="0" distL="0" distR="0">
          <wp:extent cx="2423864" cy="69990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864" cy="69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62130" w:rsidRDefault="0006213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501E"/>
    <w:multiLevelType w:val="multilevel"/>
    <w:tmpl w:val="C9380DB0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1" w15:restartNumberingAfterBreak="0">
    <w:nsid w:val="2D1671E8"/>
    <w:multiLevelType w:val="multilevel"/>
    <w:tmpl w:val="28A819CA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2" w15:restartNumberingAfterBreak="0">
    <w:nsid w:val="2D8A3C24"/>
    <w:multiLevelType w:val="multilevel"/>
    <w:tmpl w:val="FC4CBC54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3" w15:restartNumberingAfterBreak="0">
    <w:nsid w:val="3AD37886"/>
    <w:multiLevelType w:val="multilevel"/>
    <w:tmpl w:val="DF122EE6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4" w15:restartNumberingAfterBreak="0">
    <w:nsid w:val="3C4E35C3"/>
    <w:multiLevelType w:val="multilevel"/>
    <w:tmpl w:val="606C78AA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5" w15:restartNumberingAfterBreak="0">
    <w:nsid w:val="3EF634A0"/>
    <w:multiLevelType w:val="multilevel"/>
    <w:tmpl w:val="3D3C7CD4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6" w15:restartNumberingAfterBreak="0">
    <w:nsid w:val="436300C3"/>
    <w:multiLevelType w:val="multilevel"/>
    <w:tmpl w:val="F17CBB8E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7" w15:restartNumberingAfterBreak="0">
    <w:nsid w:val="46614979"/>
    <w:multiLevelType w:val="multilevel"/>
    <w:tmpl w:val="E5523A10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8" w15:restartNumberingAfterBreak="0">
    <w:nsid w:val="55920804"/>
    <w:multiLevelType w:val="multilevel"/>
    <w:tmpl w:val="82B04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C7434"/>
    <w:multiLevelType w:val="multilevel"/>
    <w:tmpl w:val="98CA0684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10" w15:restartNumberingAfterBreak="0">
    <w:nsid w:val="699E2398"/>
    <w:multiLevelType w:val="multilevel"/>
    <w:tmpl w:val="935E2948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11" w15:restartNumberingAfterBreak="0">
    <w:nsid w:val="6B99270C"/>
    <w:multiLevelType w:val="multilevel"/>
    <w:tmpl w:val="7E2A71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B4530A"/>
    <w:multiLevelType w:val="multilevel"/>
    <w:tmpl w:val="DECE48F4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abstractNum w:abstractNumId="13" w15:restartNumberingAfterBreak="0">
    <w:nsid w:val="717B3E0C"/>
    <w:multiLevelType w:val="multilevel"/>
    <w:tmpl w:val="0ADE5592"/>
    <w:lvl w:ilvl="0">
      <w:start w:val="1"/>
      <w:numFmt w:val="decimal"/>
      <w:lvlText w:val="%1."/>
      <w:lvlJc w:val="lef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4" w15:restartNumberingAfterBreak="0">
    <w:nsid w:val="7B217FDB"/>
    <w:multiLevelType w:val="multilevel"/>
    <w:tmpl w:val="A8FC58B0"/>
    <w:lvl w:ilvl="0">
      <w:start w:val="1"/>
      <w:numFmt w:val="bullet"/>
      <w:lvlText w:val="-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vertAlign w:val="baseline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30"/>
    <w:rsid w:val="00062130"/>
    <w:rsid w:val="001C2350"/>
    <w:rsid w:val="00D2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0DF"/>
  <w15:docId w15:val="{732D0732-46EA-4C58-AC74-CEFB7E20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lang w:val="en-US"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</w:style>
  <w:style w:type="paragraph" w:styleId="NormaleWeb">
    <w:name w:val="Normal (Web)"/>
    <w:rsid w:val="00E42A2C"/>
    <w:pPr>
      <w:spacing w:before="100" w:after="100"/>
    </w:pPr>
    <w:rPr>
      <w:rFonts w:hAnsi="Arial Unicode MS" w:cs="Arial Unicode MS"/>
      <w:color w:val="000000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E42A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it-IT"/>
    </w:rPr>
  </w:style>
  <w:style w:type="paragraph" w:customStyle="1" w:styleId="Default">
    <w:name w:val="Default"/>
    <w:rsid w:val="00E42A2C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customStyle="1" w:styleId="BodyA">
    <w:name w:val="Body A"/>
    <w:rsid w:val="008C77C5"/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E6536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6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6536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62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71F2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fitalia.org/wp-content/uploads/2020/02/Criteri-valutazione-proposte-finale-202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.camcom.gov.it/sites/default/files/Manua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.camcom.gov.it/sites/default/files/Manua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3gUDwGVuAbBFffQL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sf5wbxlPFSgI20VtZFWS63WA+w==">AMUW2mVqn9P/7kKce6+9YAjurvXD1fz72nSJdHhFIjdBXyC5xh+e7c2uaiKrz/eul5yY/puR4OEfW5toH1GofZN8rnfQP8U15fj0IVqq1TLE+0eY/HBnSlAT9L22E+kgknOaTVdtBK2viJ5GXLVxGgFC5F5kQ3yGCComrU7VOsNeAr4QYQy5MBU=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Liguori Domenico</cp:lastModifiedBy>
  <cp:revision>2</cp:revision>
  <dcterms:created xsi:type="dcterms:W3CDTF">2020-03-03T12:49:00Z</dcterms:created>
  <dcterms:modified xsi:type="dcterms:W3CDTF">2021-06-10T10:57:00Z</dcterms:modified>
</cp:coreProperties>
</file>