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AD6" w:rsidRDefault="00CA6AD6" w:rsidP="00CA6AD6">
      <w:pPr>
        <w:autoSpaceDE w:val="0"/>
        <w:autoSpaceDN w:val="0"/>
        <w:adjustRightInd w:val="0"/>
        <w:spacing w:after="0" w:line="80" w:lineRule="exact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6CEC55B2" wp14:editId="41A08BC5">
            <wp:simplePos x="0" y="0"/>
            <wp:positionH relativeFrom="column">
              <wp:posOffset>-2540</wp:posOffset>
            </wp:positionH>
            <wp:positionV relativeFrom="paragraph">
              <wp:posOffset>-48896</wp:posOffset>
            </wp:positionV>
            <wp:extent cx="1295400" cy="868799"/>
            <wp:effectExtent l="0" t="0" r="0" b="762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463" cy="874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,Bold" w:hAnsi="Calibri,Bold" w:cs="Calibri,Bold"/>
          <w:b/>
          <w:bCs/>
          <w:sz w:val="20"/>
          <w:szCs w:val="20"/>
        </w:rPr>
        <w:t xml:space="preserve">                                                                                                                       </w:t>
      </w:r>
    </w:p>
    <w:p w:rsidR="00CA6AD6" w:rsidRDefault="00CA6AD6" w:rsidP="00CA6AD6">
      <w:pPr>
        <w:autoSpaceDE w:val="0"/>
        <w:autoSpaceDN w:val="0"/>
        <w:adjustRightInd w:val="0"/>
        <w:spacing w:after="0" w:line="80" w:lineRule="exact"/>
        <w:rPr>
          <w:rFonts w:ascii="Calibri,Bold" w:hAnsi="Calibri,Bold" w:cs="Calibri,Bold"/>
          <w:b/>
          <w:bCs/>
          <w:sz w:val="20"/>
          <w:szCs w:val="20"/>
        </w:rPr>
      </w:pPr>
    </w:p>
    <w:p w:rsidR="00CA6AD6" w:rsidRDefault="00CA6AD6" w:rsidP="00CA6AD6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0"/>
          <w:szCs w:val="20"/>
        </w:rPr>
      </w:pPr>
    </w:p>
    <w:p w:rsidR="00CA6AD6" w:rsidRPr="00257A22" w:rsidRDefault="00062E24" w:rsidP="00257A22">
      <w:pPr>
        <w:autoSpaceDE w:val="0"/>
        <w:autoSpaceDN w:val="0"/>
        <w:adjustRightInd w:val="0"/>
        <w:spacing w:before="60" w:after="0" w:line="240" w:lineRule="auto"/>
        <w:jc w:val="right"/>
        <w:rPr>
          <w:rFonts w:ascii="Calibri,Bold" w:hAnsi="Calibri,Bold" w:cs="Calibri,Bold"/>
          <w:b/>
          <w:bCs/>
          <w:color w:val="FF0000"/>
          <w:szCs w:val="20"/>
        </w:rPr>
      </w:pPr>
      <w:r w:rsidRPr="00CA6AD6">
        <w:rPr>
          <w:rFonts w:ascii="Calibri,Bold" w:hAnsi="Calibri,Bold" w:cs="Calibri,Bold"/>
          <w:b/>
          <w:bCs/>
          <w:noProof/>
          <w:sz w:val="20"/>
          <w:szCs w:val="20"/>
          <w:lang w:eastAsia="it-IT"/>
        </w:rPr>
        <w:drawing>
          <wp:anchor distT="0" distB="0" distL="114300" distR="114300" simplePos="0" relativeHeight="251658240" behindDoc="0" locked="0" layoutInCell="1" allowOverlap="1" wp14:anchorId="0BC57D0C" wp14:editId="325AE8FC">
            <wp:simplePos x="0" y="0"/>
            <wp:positionH relativeFrom="column">
              <wp:posOffset>1556385</wp:posOffset>
            </wp:positionH>
            <wp:positionV relativeFrom="paragraph">
              <wp:posOffset>138430</wp:posOffset>
            </wp:positionV>
            <wp:extent cx="1914525" cy="418465"/>
            <wp:effectExtent l="0" t="0" r="9525" b="635"/>
            <wp:wrapNone/>
            <wp:docPr id="9" name="Immagine 8">
              <a:extLst xmlns:a="http://schemas.openxmlformats.org/drawingml/2006/main">
                <a:ext uri="{FF2B5EF4-FFF2-40B4-BE49-F238E27FC236}">
                  <a16:creationId xmlns:a16="http://schemas.microsoft.com/office/drawing/2014/main" id="{0404359A-0BD0-41BF-8144-66B953CBE1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8">
                      <a:extLst>
                        <a:ext uri="{FF2B5EF4-FFF2-40B4-BE49-F238E27FC236}">
                          <a16:creationId xmlns:a16="http://schemas.microsoft.com/office/drawing/2014/main" id="{0404359A-0BD0-41BF-8144-66B953CBE1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A22">
        <w:rPr>
          <w:noProof/>
          <w:color w:val="000000"/>
          <w:bdr w:val="none" w:sz="0" w:space="0" w:color="auto" w:frame="1"/>
          <w:lang w:eastAsia="it-IT"/>
        </w:rPr>
        <w:drawing>
          <wp:inline distT="0" distB="0" distL="0" distR="0" wp14:anchorId="53FC9666" wp14:editId="1C229701">
            <wp:extent cx="2495550" cy="581025"/>
            <wp:effectExtent l="0" t="0" r="0" b="9525"/>
            <wp:docPr id="7" name="Immagine 7" descr="https://lh6.googleusercontent.com/Q18rzNc9dmESy6aOuSAgcPFMBenQM_CkHRjGVZKyajI1jTNdgU4Wbr-_xxWx3Mkhno5kBopmhaMgYEOLC3lMfWW5Q-AP37pp-aMS8RdtmZdziPgvzSC4fyJD_Ifwp-wMIqtZ5nqWb2As0gsQF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6.googleusercontent.com/Q18rzNc9dmESy6aOuSAgcPFMBenQM_CkHRjGVZKyajI1jTNdgU4Wbr-_xxWx3Mkhno5kBopmhaMgYEOLC3lMfWW5Q-AP37pp-aMS8RdtmZdziPgvzSC4fyJD_Ifwp-wMIqtZ5nqWb2As0gsQF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AD6" w:rsidRDefault="00257A22" w:rsidP="00257A22">
      <w:pPr>
        <w:tabs>
          <w:tab w:val="left" w:pos="5730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ab/>
      </w:r>
    </w:p>
    <w:p w:rsidR="00257A22" w:rsidRDefault="00257A22" w:rsidP="00257A22">
      <w:pPr>
        <w:tabs>
          <w:tab w:val="left" w:pos="5730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</w:p>
    <w:p w:rsidR="00257A22" w:rsidRDefault="00257A22" w:rsidP="00257A22">
      <w:pPr>
        <w:tabs>
          <w:tab w:val="left" w:pos="5730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</w:p>
    <w:p w:rsidR="00CA6AD6" w:rsidRDefault="00CA6AD6" w:rsidP="00DD72C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</w:p>
    <w:p w:rsidR="004A6B2A" w:rsidRPr="004A6B2A" w:rsidRDefault="004A6B2A" w:rsidP="004A6B2A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color w:val="C00000"/>
          <w:sz w:val="28"/>
          <w:szCs w:val="20"/>
          <w:u w:val="single"/>
        </w:rPr>
      </w:pPr>
    </w:p>
    <w:p w:rsidR="00CA6AD6" w:rsidRDefault="00CA6AD6" w:rsidP="00CA6AD6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color w:val="365F91" w:themeColor="accent1" w:themeShade="BF"/>
          <w:szCs w:val="20"/>
        </w:rPr>
      </w:pPr>
      <w:r w:rsidRPr="00CA6AD6">
        <w:rPr>
          <w:rFonts w:ascii="Open Sans" w:hAnsi="Open Sans" w:cs="Open Sans"/>
          <w:b/>
          <w:bCs/>
          <w:color w:val="365F91" w:themeColor="accent1" w:themeShade="BF"/>
          <w:szCs w:val="20"/>
        </w:rPr>
        <w:t>STAY EXPORT – Informazione, formazione e accompagnamento all’estero</w:t>
      </w:r>
    </w:p>
    <w:p w:rsidR="00CA6AD6" w:rsidRPr="00CA6AD6" w:rsidRDefault="00CA6AD6" w:rsidP="00CA6AD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Open Sans" w:hAnsi="Open Sans" w:cs="Open Sans"/>
          <w:b/>
          <w:bCs/>
          <w:color w:val="365F91" w:themeColor="accent1" w:themeShade="BF"/>
          <w:sz w:val="24"/>
          <w:szCs w:val="20"/>
          <w:u w:val="single"/>
        </w:rPr>
      </w:pPr>
      <w:r w:rsidRPr="00CA6AD6">
        <w:rPr>
          <w:rFonts w:ascii="Open Sans" w:hAnsi="Open Sans" w:cs="Open Sans"/>
          <w:b/>
          <w:bCs/>
          <w:color w:val="365F91" w:themeColor="accent1" w:themeShade="BF"/>
          <w:sz w:val="24"/>
          <w:szCs w:val="20"/>
          <w:u w:val="single"/>
        </w:rPr>
        <w:t>MANIFESTAZIONE DI INTERESSE</w:t>
      </w:r>
    </w:p>
    <w:p w:rsidR="00CA6AD6" w:rsidRDefault="00CA6AD6" w:rsidP="00DD72C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</w:p>
    <w:p w:rsidR="00CA6AD6" w:rsidRDefault="00CA6AD6" w:rsidP="00DD72C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</w:p>
    <w:p w:rsidR="00DD72CB" w:rsidRPr="00CA6AD6" w:rsidRDefault="00DD72CB" w:rsidP="00C46351">
      <w:pPr>
        <w:autoSpaceDE w:val="0"/>
        <w:autoSpaceDN w:val="0"/>
        <w:adjustRightInd w:val="0"/>
        <w:spacing w:after="120" w:line="240" w:lineRule="auto"/>
        <w:jc w:val="both"/>
        <w:rPr>
          <w:rFonts w:ascii="Open Sans" w:hAnsi="Open Sans" w:cs="Open Sans"/>
          <w:b/>
          <w:bCs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b/>
          <w:bCs/>
          <w:color w:val="365F91" w:themeColor="accent1" w:themeShade="BF"/>
          <w:sz w:val="20"/>
          <w:szCs w:val="20"/>
        </w:rPr>
        <w:t>ART. 1 – FINALITA’</w:t>
      </w:r>
    </w:p>
    <w:p w:rsidR="00D14866" w:rsidRDefault="00DD72CB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Nell’ambito del </w:t>
      </w:r>
      <w:r w:rsidRPr="00572516">
        <w:rPr>
          <w:rFonts w:ascii="Open Sans" w:hAnsi="Open Sans" w:cs="Open Sans"/>
          <w:b/>
          <w:color w:val="365F91" w:themeColor="accent1" w:themeShade="BF"/>
          <w:sz w:val="20"/>
          <w:szCs w:val="20"/>
        </w:rPr>
        <w:t xml:space="preserve">Progetto </w:t>
      </w:r>
      <w:r w:rsidR="00572516" w:rsidRPr="00572516">
        <w:rPr>
          <w:rFonts w:ascii="Open Sans" w:hAnsi="Open Sans" w:cs="Open Sans"/>
          <w:b/>
          <w:color w:val="365F91" w:themeColor="accent1" w:themeShade="BF"/>
          <w:sz w:val="20"/>
          <w:szCs w:val="20"/>
        </w:rPr>
        <w:t>Stay Export</w:t>
      </w:r>
      <w:r w:rsidR="0057251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,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finanziato da </w:t>
      </w:r>
      <w:proofErr w:type="spellStart"/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Unioncamere</w:t>
      </w:r>
      <w:proofErr w:type="spellEnd"/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="00C46351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(l’Unione Italiana delle Camere di Commercio)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a valere sul Fondo</w:t>
      </w:r>
      <w:r w:rsidR="0057251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proofErr w:type="spellStart"/>
      <w:r w:rsidR="00572516">
        <w:rPr>
          <w:rFonts w:ascii="Open Sans" w:hAnsi="Open Sans" w:cs="Open Sans"/>
          <w:color w:val="365F91" w:themeColor="accent1" w:themeShade="BF"/>
          <w:sz w:val="20"/>
          <w:szCs w:val="20"/>
        </w:rPr>
        <w:t>Intercamerale</w:t>
      </w:r>
      <w:proofErr w:type="spellEnd"/>
      <w:r w:rsidR="0057251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di Intervento 2020 e in stretto collegamento con le iniziative realizzate nell’ambito del </w:t>
      </w:r>
      <w:r w:rsidR="00572516" w:rsidRPr="00572516">
        <w:rPr>
          <w:rFonts w:ascii="Open Sans" w:hAnsi="Open Sans" w:cs="Open Sans"/>
          <w:b/>
          <w:color w:val="365F91" w:themeColor="accent1" w:themeShade="BF"/>
          <w:sz w:val="20"/>
          <w:szCs w:val="20"/>
        </w:rPr>
        <w:t>Progetto SEI (Sostegno all’Export dell’Italia)</w:t>
      </w:r>
      <w:r w:rsidR="0057251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,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la </w:t>
      </w:r>
      <w:r w:rsidRPr="00572516">
        <w:rPr>
          <w:rFonts w:ascii="Open Sans" w:hAnsi="Open Sans" w:cs="Open Sans"/>
          <w:b/>
          <w:color w:val="365F91" w:themeColor="accent1" w:themeShade="BF"/>
          <w:sz w:val="20"/>
          <w:szCs w:val="20"/>
        </w:rPr>
        <w:t xml:space="preserve">Camera di Commercio di </w:t>
      </w:r>
      <w:r w:rsidR="00905DE1" w:rsidRPr="00905DE1">
        <w:rPr>
          <w:rFonts w:ascii="Open Sans" w:hAnsi="Open Sans" w:cs="Open Sans"/>
          <w:b/>
          <w:color w:val="365F91" w:themeColor="accent1" w:themeShade="BF"/>
          <w:sz w:val="20"/>
          <w:szCs w:val="20"/>
        </w:rPr>
        <w:t>Cosenza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="0057251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avvia un insieme di azioni </w:t>
      </w:r>
      <w:r w:rsidR="001447A4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finalizzate ad </w:t>
      </w:r>
      <w:r w:rsidR="00D14866">
        <w:rPr>
          <w:rFonts w:ascii="Open Sans" w:hAnsi="Open Sans" w:cs="Open Sans"/>
          <w:color w:val="365F91" w:themeColor="accent1" w:themeShade="BF"/>
          <w:sz w:val="20"/>
          <w:szCs w:val="20"/>
        </w:rPr>
        <w:t>aiutare</w:t>
      </w:r>
      <w:r w:rsidR="001447A4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le</w:t>
      </w:r>
      <w:r w:rsidR="001447A4" w:rsidRPr="001447A4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="001447A4" w:rsidRPr="00723A2C">
        <w:rPr>
          <w:rFonts w:ascii="Open Sans" w:hAnsi="Open Sans" w:cs="Open Sans"/>
          <w:b/>
          <w:color w:val="365F91" w:themeColor="accent1" w:themeShade="BF"/>
          <w:sz w:val="20"/>
          <w:szCs w:val="20"/>
        </w:rPr>
        <w:t>imprese esportatrici</w:t>
      </w:r>
      <w:r w:rsidR="001447A4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="001447A4" w:rsidRPr="001447A4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a fronteggiare le difficoltà </w:t>
      </w:r>
      <w:r w:rsidR="001447A4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sui mercati internazionali </w:t>
      </w:r>
      <w:r w:rsidR="00D1486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rilevate </w:t>
      </w:r>
      <w:r w:rsidR="001447A4" w:rsidRPr="001447A4">
        <w:rPr>
          <w:rFonts w:ascii="Open Sans" w:hAnsi="Open Sans" w:cs="Open Sans"/>
          <w:color w:val="365F91" w:themeColor="accent1" w:themeShade="BF"/>
          <w:sz w:val="20"/>
          <w:szCs w:val="20"/>
        </w:rPr>
        <w:t>in questa fase emergenziale</w:t>
      </w:r>
      <w:r w:rsidR="00D14866" w:rsidRPr="00D1486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="00D1486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e a </w:t>
      </w:r>
      <w:r w:rsidR="00D14866"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rafforzare la </w:t>
      </w:r>
      <w:r w:rsidR="00D1486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loro </w:t>
      </w:r>
      <w:r w:rsidR="00D14866"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presenza all’estero</w:t>
      </w:r>
      <w:r w:rsidR="001447A4" w:rsidRPr="001447A4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, attraverso la costruzione di percorsi di orientamento e assistenza </w:t>
      </w:r>
      <w:r w:rsidR="00723A2C">
        <w:rPr>
          <w:rFonts w:ascii="Open Sans" w:hAnsi="Open Sans" w:cs="Open Sans"/>
          <w:color w:val="365F91" w:themeColor="accent1" w:themeShade="BF"/>
          <w:sz w:val="20"/>
          <w:szCs w:val="20"/>
        </w:rPr>
        <w:t>articolati in</w:t>
      </w:r>
      <w:r w:rsidR="001447A4" w:rsidRPr="001447A4">
        <w:rPr>
          <w:rFonts w:ascii="Open Sans" w:hAnsi="Open Sans" w:cs="Open Sans"/>
          <w:color w:val="365F91" w:themeColor="accent1" w:themeShade="BF"/>
          <w:sz w:val="20"/>
          <w:szCs w:val="20"/>
        </w:rPr>
        <w:t>:</w:t>
      </w:r>
    </w:p>
    <w:p w:rsidR="00D14866" w:rsidRDefault="00D14866" w:rsidP="00D148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723A2C">
        <w:rPr>
          <w:rFonts w:ascii="Open Sans" w:hAnsi="Open Sans" w:cs="Open Sans"/>
          <w:b/>
          <w:i/>
          <w:color w:val="365F91" w:themeColor="accent1" w:themeShade="BF"/>
          <w:sz w:val="20"/>
          <w:szCs w:val="20"/>
        </w:rPr>
        <w:t>informa</w:t>
      </w:r>
      <w:r w:rsidR="00723A2C" w:rsidRPr="00723A2C">
        <w:rPr>
          <w:rFonts w:ascii="Open Sans" w:hAnsi="Open Sans" w:cs="Open Sans"/>
          <w:b/>
          <w:i/>
          <w:color w:val="365F91" w:themeColor="accent1" w:themeShade="BF"/>
          <w:sz w:val="20"/>
          <w:szCs w:val="20"/>
        </w:rPr>
        <w:t>zioni</w:t>
      </w:r>
      <w:r w:rsidRPr="00723A2C">
        <w:rPr>
          <w:rFonts w:ascii="Open Sans" w:hAnsi="Open Sans" w:cs="Open Sans"/>
          <w:b/>
          <w:i/>
          <w:color w:val="365F91" w:themeColor="accent1" w:themeShade="BF"/>
          <w:sz w:val="20"/>
          <w:szCs w:val="20"/>
        </w:rPr>
        <w:t xml:space="preserve"> aggiornate</w:t>
      </w:r>
      <w:r w:rsidRPr="00D1486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sulle opportunità e 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sui </w:t>
      </w:r>
      <w:r w:rsidRPr="00D1486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rischi 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rilevati nei paesi esteri </w:t>
      </w:r>
      <w:r w:rsidRPr="00D1486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a maggior interscambio commerciale con l’Italia; </w:t>
      </w:r>
    </w:p>
    <w:p w:rsidR="00723A2C" w:rsidRDefault="00D14866" w:rsidP="00D148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D1486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percorsi formativi/informativi fruibili on line attraverso </w:t>
      </w:r>
      <w:proofErr w:type="spellStart"/>
      <w:r w:rsidRPr="00723A2C">
        <w:rPr>
          <w:rFonts w:ascii="Open Sans" w:hAnsi="Open Sans" w:cs="Open Sans"/>
          <w:b/>
          <w:i/>
          <w:color w:val="365F91" w:themeColor="accent1" w:themeShade="BF"/>
          <w:sz w:val="20"/>
          <w:szCs w:val="20"/>
        </w:rPr>
        <w:t>webinar</w:t>
      </w:r>
      <w:proofErr w:type="spellEnd"/>
      <w:r w:rsidRPr="00723A2C">
        <w:rPr>
          <w:rFonts w:ascii="Open Sans" w:hAnsi="Open Sans" w:cs="Open Sans"/>
          <w:b/>
          <w:i/>
          <w:color w:val="365F91" w:themeColor="accent1" w:themeShade="BF"/>
          <w:sz w:val="20"/>
          <w:szCs w:val="20"/>
        </w:rPr>
        <w:t xml:space="preserve"> tematici</w:t>
      </w:r>
      <w:r w:rsidRPr="00D1486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; </w:t>
      </w:r>
    </w:p>
    <w:p w:rsidR="00D14866" w:rsidRPr="00D14866" w:rsidRDefault="00723A2C" w:rsidP="00D148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a seguito di una puntuale valutazione del grado di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interesse e delle effettive capacità e potenzialità di presenza </w:t>
      </w:r>
      <w:r w:rsidR="00987348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dell’impresa 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nei diversi paesi esteri, </w:t>
      </w:r>
      <w:r w:rsidR="00D14866" w:rsidRPr="00723A2C">
        <w:rPr>
          <w:rFonts w:ascii="Open Sans" w:hAnsi="Open Sans" w:cs="Open Sans"/>
          <w:b/>
          <w:i/>
          <w:color w:val="365F91" w:themeColor="accent1" w:themeShade="BF"/>
          <w:sz w:val="20"/>
          <w:szCs w:val="20"/>
        </w:rPr>
        <w:t xml:space="preserve">attività di </w:t>
      </w:r>
      <w:r w:rsidRPr="00723A2C">
        <w:rPr>
          <w:rFonts w:ascii="Open Sans" w:hAnsi="Open Sans" w:cs="Open Sans"/>
          <w:b/>
          <w:i/>
          <w:color w:val="365F91" w:themeColor="accent1" w:themeShade="BF"/>
          <w:sz w:val="20"/>
          <w:szCs w:val="20"/>
        </w:rPr>
        <w:t xml:space="preserve">affiancamento </w:t>
      </w:r>
      <w:r>
        <w:rPr>
          <w:rFonts w:ascii="Open Sans" w:hAnsi="Open Sans" w:cs="Open Sans"/>
          <w:b/>
          <w:i/>
          <w:color w:val="365F91" w:themeColor="accent1" w:themeShade="BF"/>
          <w:sz w:val="20"/>
          <w:szCs w:val="20"/>
        </w:rPr>
        <w:t>personalizzato</w:t>
      </w:r>
      <w:r w:rsidR="00D14866" w:rsidRPr="00D1486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="004420FF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a distanza 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>(</w:t>
      </w:r>
      <w:r w:rsidRPr="00723A2C">
        <w:rPr>
          <w:rFonts w:ascii="Open Sans" w:hAnsi="Open Sans" w:cs="Open Sans"/>
          <w:b/>
          <w:i/>
          <w:color w:val="365F91" w:themeColor="accent1" w:themeShade="BF"/>
          <w:sz w:val="20"/>
          <w:szCs w:val="20"/>
        </w:rPr>
        <w:t>web-</w:t>
      </w:r>
      <w:proofErr w:type="spellStart"/>
      <w:r w:rsidRPr="00723A2C">
        <w:rPr>
          <w:rFonts w:ascii="Open Sans" w:hAnsi="Open Sans" w:cs="Open Sans"/>
          <w:b/>
          <w:i/>
          <w:color w:val="365F91" w:themeColor="accent1" w:themeShade="BF"/>
          <w:sz w:val="20"/>
          <w:szCs w:val="20"/>
        </w:rPr>
        <w:t>mentoring</w:t>
      </w:r>
      <w:proofErr w:type="spellEnd"/>
      <w:r>
        <w:rPr>
          <w:rFonts w:ascii="Open Sans" w:hAnsi="Open Sans" w:cs="Open Sans"/>
          <w:color w:val="365F91" w:themeColor="accent1" w:themeShade="BF"/>
          <w:sz w:val="20"/>
          <w:szCs w:val="20"/>
        </w:rPr>
        <w:t>)</w:t>
      </w:r>
      <w:r w:rsidR="00D14866" w:rsidRPr="00D14866">
        <w:rPr>
          <w:rFonts w:ascii="Open Sans" w:hAnsi="Open Sans" w:cs="Open Sans"/>
          <w:color w:val="365F91" w:themeColor="accent1" w:themeShade="BF"/>
          <w:sz w:val="20"/>
          <w:szCs w:val="20"/>
        </w:rPr>
        <w:t>. A quest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>e</w:t>
      </w:r>
      <w:r w:rsidR="00D14866" w:rsidRPr="00D1486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si potranno aggiungere 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>ulteriori</w:t>
      </w:r>
      <w:r w:rsidR="00D14866" w:rsidRPr="00D1486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interventi di </w:t>
      </w:r>
      <w:r w:rsidRPr="00723A2C">
        <w:rPr>
          <w:rFonts w:ascii="Open Sans" w:hAnsi="Open Sans" w:cs="Open Sans"/>
          <w:b/>
          <w:i/>
          <w:color w:val="365F91" w:themeColor="accent1" w:themeShade="BF"/>
          <w:sz w:val="20"/>
          <w:szCs w:val="20"/>
        </w:rPr>
        <w:t xml:space="preserve">orientamento e </w:t>
      </w:r>
      <w:r w:rsidR="00D14866" w:rsidRPr="00723A2C">
        <w:rPr>
          <w:rFonts w:ascii="Open Sans" w:hAnsi="Open Sans" w:cs="Open Sans"/>
          <w:b/>
          <w:i/>
          <w:color w:val="365F91" w:themeColor="accent1" w:themeShade="BF"/>
          <w:sz w:val="20"/>
          <w:szCs w:val="20"/>
        </w:rPr>
        <w:t xml:space="preserve">assistenza </w:t>
      </w:r>
      <w:r w:rsidRPr="00723A2C">
        <w:rPr>
          <w:rFonts w:ascii="Open Sans" w:hAnsi="Open Sans" w:cs="Open Sans"/>
          <w:b/>
          <w:i/>
          <w:color w:val="365F91" w:themeColor="accent1" w:themeShade="BF"/>
          <w:sz w:val="20"/>
          <w:szCs w:val="20"/>
        </w:rPr>
        <w:t>specialistica</w:t>
      </w:r>
      <w:r w:rsidR="00D14866" w:rsidRPr="00D1486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, 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>a carattere individuale</w:t>
      </w:r>
      <w:r w:rsidR="004420FF">
        <w:rPr>
          <w:rFonts w:ascii="Open Sans" w:hAnsi="Open Sans" w:cs="Open Sans"/>
          <w:color w:val="365F91" w:themeColor="accent1" w:themeShade="BF"/>
          <w:sz w:val="20"/>
          <w:szCs w:val="20"/>
        </w:rPr>
        <w:t>, sempre a distanza.</w:t>
      </w:r>
    </w:p>
    <w:p w:rsidR="00D14866" w:rsidRDefault="00D14866" w:rsidP="00D14866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C46351" w:rsidRDefault="00C46351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Tutti i servizi saranno erogati dalla rete delle </w:t>
      </w:r>
      <w:r w:rsidRPr="00C46351">
        <w:rPr>
          <w:rFonts w:ascii="Open Sans" w:hAnsi="Open Sans" w:cs="Open Sans"/>
          <w:b/>
          <w:color w:val="365F91" w:themeColor="accent1" w:themeShade="BF"/>
          <w:sz w:val="20"/>
          <w:szCs w:val="20"/>
        </w:rPr>
        <w:t>Camere di Commercio Italiane all’Estero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, che attueranno le iniziative previste per conto di </w:t>
      </w:r>
      <w:proofErr w:type="spellStart"/>
      <w:r>
        <w:rPr>
          <w:rFonts w:ascii="Open Sans" w:hAnsi="Open Sans" w:cs="Open Sans"/>
          <w:color w:val="365F91" w:themeColor="accent1" w:themeShade="BF"/>
          <w:sz w:val="20"/>
          <w:szCs w:val="20"/>
        </w:rPr>
        <w:t>Unioncamere</w:t>
      </w:r>
      <w:proofErr w:type="spellEnd"/>
      <w:r>
        <w:rPr>
          <w:rFonts w:ascii="Open Sans" w:hAnsi="Open Sans" w:cs="Open Sans"/>
          <w:color w:val="365F91" w:themeColor="accent1" w:themeShade="BF"/>
          <w:sz w:val="20"/>
          <w:szCs w:val="20"/>
        </w:rPr>
        <w:t>.</w:t>
      </w:r>
    </w:p>
    <w:p w:rsidR="00C46351" w:rsidRDefault="00C46351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365F91" w:themeColor="accent1" w:themeShade="BF"/>
          <w:sz w:val="20"/>
          <w:szCs w:val="20"/>
        </w:rPr>
      </w:pPr>
    </w:p>
    <w:p w:rsidR="00DE029A" w:rsidRDefault="00DE029A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365F91" w:themeColor="accent1" w:themeShade="BF"/>
          <w:sz w:val="20"/>
          <w:szCs w:val="20"/>
        </w:rPr>
      </w:pPr>
    </w:p>
    <w:p w:rsidR="00DD72CB" w:rsidRPr="00CA6AD6" w:rsidRDefault="00DD72CB" w:rsidP="00DE029A">
      <w:pPr>
        <w:autoSpaceDE w:val="0"/>
        <w:autoSpaceDN w:val="0"/>
        <w:adjustRightInd w:val="0"/>
        <w:spacing w:after="120" w:line="240" w:lineRule="auto"/>
        <w:jc w:val="both"/>
        <w:rPr>
          <w:rFonts w:ascii="Open Sans" w:hAnsi="Open Sans" w:cs="Open Sans"/>
          <w:b/>
          <w:bCs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b/>
          <w:bCs/>
          <w:color w:val="365F91" w:themeColor="accent1" w:themeShade="BF"/>
          <w:sz w:val="20"/>
          <w:szCs w:val="20"/>
        </w:rPr>
        <w:t>ART. 2 – DESTINATARI</w:t>
      </w:r>
    </w:p>
    <w:p w:rsidR="00DD72CB" w:rsidRPr="00E50DE3" w:rsidRDefault="00DD72CB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1. Sono ammesse a partecipare </w:t>
      </w:r>
      <w:proofErr w:type="gramStart"/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le micro</w:t>
      </w:r>
      <w:proofErr w:type="gramEnd"/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, piccole e medie imprese, come definite dall’Allegato I al Regolamento n.</w:t>
      </w:r>
      <w:r w:rsidR="00C46351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651/2014/UE della Commissione europea, loro cooperative e consorzi, con sede e/o unità operativa </w:t>
      </w:r>
      <w:r w:rsidRPr="00E50DE3">
        <w:rPr>
          <w:rFonts w:ascii="Open Sans" w:hAnsi="Open Sans" w:cs="Open Sans"/>
          <w:color w:val="365F91" w:themeColor="accent1" w:themeShade="BF"/>
          <w:sz w:val="20"/>
          <w:szCs w:val="20"/>
        </w:rPr>
        <w:t>nella provincia di</w:t>
      </w:r>
      <w:r w:rsidR="00C46351" w:rsidRPr="00E50DE3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="00E50DE3" w:rsidRPr="00E50DE3">
        <w:rPr>
          <w:rFonts w:ascii="Open Sans" w:hAnsi="Open Sans" w:cs="Open Sans"/>
          <w:b/>
          <w:color w:val="365F91" w:themeColor="accent1" w:themeShade="BF"/>
          <w:sz w:val="20"/>
          <w:szCs w:val="20"/>
        </w:rPr>
        <w:t>Cosenza</w:t>
      </w:r>
      <w:r w:rsidRPr="00E50DE3">
        <w:rPr>
          <w:rFonts w:ascii="Open Sans" w:hAnsi="Open Sans" w:cs="Open Sans"/>
          <w:color w:val="365F91" w:themeColor="accent1" w:themeShade="BF"/>
          <w:sz w:val="20"/>
          <w:szCs w:val="20"/>
        </w:rPr>
        <w:t>:</w:t>
      </w:r>
    </w:p>
    <w:p w:rsidR="00DD72CB" w:rsidRPr="00E50DE3" w:rsidRDefault="00DD72CB" w:rsidP="00C4635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E50DE3">
        <w:rPr>
          <w:rFonts w:ascii="Open Sans" w:hAnsi="Open Sans" w:cs="Open Sans"/>
          <w:color w:val="365F91" w:themeColor="accent1" w:themeShade="BF"/>
          <w:sz w:val="20"/>
          <w:szCs w:val="20"/>
        </w:rPr>
        <w:t>iscritte al Registro Imprese e in regola con la denuncia di inizio attività al Rea della Camera di Commercio di</w:t>
      </w:r>
      <w:r w:rsidR="00E50DE3" w:rsidRPr="00E50DE3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Cosenza</w:t>
      </w:r>
      <w:r w:rsidRPr="00E50DE3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, con sede e/o unità operativa (escluso magazzino o deposito) nella provincia di </w:t>
      </w:r>
      <w:r w:rsidR="00E50DE3" w:rsidRPr="00E50DE3">
        <w:rPr>
          <w:rFonts w:ascii="Open Sans" w:hAnsi="Open Sans" w:cs="Open Sans"/>
          <w:b/>
          <w:color w:val="365F91" w:themeColor="accent1" w:themeShade="BF"/>
          <w:sz w:val="20"/>
          <w:szCs w:val="20"/>
        </w:rPr>
        <w:t>Cosenza</w:t>
      </w:r>
      <w:r w:rsidRPr="00E50DE3">
        <w:rPr>
          <w:rFonts w:ascii="Open Sans" w:hAnsi="Open Sans" w:cs="Open Sans"/>
          <w:color w:val="365F91" w:themeColor="accent1" w:themeShade="BF"/>
          <w:sz w:val="20"/>
          <w:szCs w:val="20"/>
        </w:rPr>
        <w:t>;</w:t>
      </w:r>
    </w:p>
    <w:p w:rsidR="00DD72CB" w:rsidRPr="00CA6AD6" w:rsidRDefault="00DD72CB" w:rsidP="00C4635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E50DE3">
        <w:rPr>
          <w:rFonts w:ascii="Open Sans" w:hAnsi="Open Sans" w:cs="Open Sans"/>
          <w:color w:val="365F91" w:themeColor="accent1" w:themeShade="BF"/>
          <w:sz w:val="20"/>
          <w:szCs w:val="20"/>
        </w:rPr>
        <w:t>in regola, e nell’esatta misura, con il pagamento del diritto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annuale camerale;</w:t>
      </w:r>
    </w:p>
    <w:p w:rsidR="00DD72CB" w:rsidRPr="00C46351" w:rsidRDefault="00DD72CB" w:rsidP="00C4635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C46351">
        <w:rPr>
          <w:rFonts w:ascii="Open Sans" w:hAnsi="Open Sans" w:cs="Open Sans"/>
          <w:color w:val="365F91" w:themeColor="accent1" w:themeShade="BF"/>
          <w:sz w:val="20"/>
          <w:szCs w:val="20"/>
        </w:rPr>
        <w:t>non sottoposte a procedure concorsuali (quali: fallimento, amministrazione controllata, amministrazione</w:t>
      </w:r>
      <w:r w:rsidR="00C46351" w:rsidRPr="00C46351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46351">
        <w:rPr>
          <w:rFonts w:ascii="Open Sans" w:hAnsi="Open Sans" w:cs="Open Sans"/>
          <w:color w:val="365F91" w:themeColor="accent1" w:themeShade="BF"/>
          <w:sz w:val="20"/>
          <w:szCs w:val="20"/>
        </w:rPr>
        <w:t>straordinaria, concordato preventivo, liquidazione coatta amministrativa), e che non si trovino in stato di</w:t>
      </w:r>
      <w:r w:rsidR="00C46351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46351">
        <w:rPr>
          <w:rFonts w:ascii="Open Sans" w:hAnsi="Open Sans" w:cs="Open Sans"/>
          <w:color w:val="365F91" w:themeColor="accent1" w:themeShade="BF"/>
          <w:sz w:val="20"/>
          <w:szCs w:val="20"/>
        </w:rPr>
        <w:t>cessazione o sospensione dell’attività;</w:t>
      </w:r>
    </w:p>
    <w:p w:rsidR="00DD72CB" w:rsidRDefault="00DD72CB" w:rsidP="00C4635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rientranti in una delle seguenti categorie:</w:t>
      </w:r>
    </w:p>
    <w:p w:rsidR="001572CB" w:rsidRPr="00CA6AD6" w:rsidRDefault="001572CB" w:rsidP="00335F0E">
      <w:pPr>
        <w:pStyle w:val="Paragrafoelenco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>
        <w:rPr>
          <w:rFonts w:ascii="Open Sans" w:hAnsi="Open Sans" w:cs="Open Sans"/>
          <w:color w:val="365F91" w:themeColor="accent1" w:themeShade="BF"/>
          <w:sz w:val="20"/>
          <w:szCs w:val="20"/>
        </w:rPr>
        <w:t>“potenziali esportatrici”: imprese che negli ultimi tre anni non hanno mai esportato ma presentano un elevato</w:t>
      </w:r>
      <w:r w:rsidR="00335F0E" w:rsidRPr="00335F0E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="00335F0E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interesse ed </w:t>
      </w:r>
      <w:r w:rsidR="00335F0E" w:rsidRPr="00335F0E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effettive capacità e potenzialità di presenza </w:t>
      </w:r>
      <w:r w:rsidR="00335F0E">
        <w:rPr>
          <w:rFonts w:ascii="Open Sans" w:hAnsi="Open Sans" w:cs="Open Sans"/>
          <w:color w:val="365F91" w:themeColor="accent1" w:themeShade="BF"/>
          <w:sz w:val="20"/>
          <w:szCs w:val="20"/>
        </w:rPr>
        <w:t>all’estero;</w:t>
      </w:r>
    </w:p>
    <w:p w:rsidR="001572CB" w:rsidRDefault="00DD72CB" w:rsidP="00C46351">
      <w:pPr>
        <w:pStyle w:val="Paragrafoelenco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C46351">
        <w:rPr>
          <w:rFonts w:ascii="Open Sans" w:hAnsi="Open Sans" w:cs="Open Sans"/>
          <w:color w:val="365F91" w:themeColor="accent1" w:themeShade="BF"/>
          <w:sz w:val="20"/>
          <w:szCs w:val="20"/>
        </w:rPr>
        <w:t>“occasionali esportatrici”: quelle che</w:t>
      </w:r>
      <w:r w:rsidR="00C46351" w:rsidRPr="00C46351">
        <w:t xml:space="preserve"> </w:t>
      </w:r>
      <w:r w:rsidR="00C46351" w:rsidRPr="00C46351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negli ultimi tre anni hanno esportato </w:t>
      </w:r>
      <w:r w:rsidR="001572CB">
        <w:rPr>
          <w:rFonts w:ascii="Open Sans" w:hAnsi="Open Sans" w:cs="Open Sans"/>
          <w:color w:val="365F91" w:themeColor="accent1" w:themeShade="BF"/>
          <w:sz w:val="20"/>
          <w:szCs w:val="20"/>
        </w:rPr>
        <w:t>per un</w:t>
      </w:r>
      <w:r w:rsidR="00C46351" w:rsidRPr="00C46351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="001572CB">
        <w:rPr>
          <w:rFonts w:ascii="Open Sans" w:hAnsi="Open Sans" w:cs="Open Sans"/>
          <w:color w:val="365F91" w:themeColor="accent1" w:themeShade="BF"/>
          <w:sz w:val="20"/>
          <w:szCs w:val="20"/>
        </w:rPr>
        <w:t>solo anno</w:t>
      </w:r>
      <w:r w:rsidR="00C46351" w:rsidRPr="00C46351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, </w:t>
      </w:r>
      <w:r w:rsidR="001572CB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e/o </w:t>
      </w:r>
      <w:r w:rsidR="00C46351" w:rsidRPr="00C46351">
        <w:rPr>
          <w:rFonts w:ascii="Open Sans" w:hAnsi="Open Sans" w:cs="Open Sans"/>
          <w:color w:val="365F91" w:themeColor="accent1" w:themeShade="BF"/>
          <w:sz w:val="20"/>
          <w:szCs w:val="20"/>
        </w:rPr>
        <w:t>quelle che esportano solo in uno/due mercati e</w:t>
      </w:r>
      <w:r w:rsidR="001572CB">
        <w:rPr>
          <w:rFonts w:ascii="Open Sans" w:hAnsi="Open Sans" w:cs="Open Sans"/>
          <w:color w:val="365F91" w:themeColor="accent1" w:themeShade="BF"/>
          <w:sz w:val="20"/>
          <w:szCs w:val="20"/>
        </w:rPr>
        <w:t>/o</w:t>
      </w:r>
      <w:r w:rsidR="00C46351" w:rsidRPr="00C46351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quelle che esportano per meno del </w:t>
      </w:r>
      <w:r w:rsidR="001572CB">
        <w:rPr>
          <w:rFonts w:ascii="Open Sans" w:hAnsi="Open Sans" w:cs="Open Sans"/>
          <w:color w:val="365F91" w:themeColor="accent1" w:themeShade="BF"/>
          <w:sz w:val="20"/>
          <w:szCs w:val="20"/>
        </w:rPr>
        <w:t>20</w:t>
      </w:r>
      <w:r w:rsidR="00C46351" w:rsidRPr="00C46351">
        <w:rPr>
          <w:rFonts w:ascii="Open Sans" w:hAnsi="Open Sans" w:cs="Open Sans"/>
          <w:color w:val="365F91" w:themeColor="accent1" w:themeShade="BF"/>
          <w:sz w:val="20"/>
          <w:szCs w:val="20"/>
        </w:rPr>
        <w:t>% del fatturato</w:t>
      </w:r>
      <w:r w:rsidR="001572CB">
        <w:rPr>
          <w:rFonts w:ascii="Open Sans" w:hAnsi="Open Sans" w:cs="Open Sans"/>
          <w:color w:val="365F91" w:themeColor="accent1" w:themeShade="BF"/>
          <w:sz w:val="20"/>
          <w:szCs w:val="20"/>
        </w:rPr>
        <w:t>;</w:t>
      </w:r>
    </w:p>
    <w:p w:rsidR="001572CB" w:rsidRDefault="001572CB" w:rsidP="001572CB">
      <w:pPr>
        <w:pStyle w:val="Paragrafoelenco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>
        <w:rPr>
          <w:rFonts w:ascii="Open Sans" w:hAnsi="Open Sans" w:cs="Open Sans"/>
          <w:color w:val="365F91" w:themeColor="accent1" w:themeShade="BF"/>
          <w:sz w:val="20"/>
          <w:szCs w:val="20"/>
        </w:rPr>
        <w:t>“abituali esportatrici</w:t>
      </w:r>
      <w:proofErr w:type="gramStart"/>
      <w:r>
        <w:rPr>
          <w:rFonts w:ascii="Open Sans" w:hAnsi="Open Sans" w:cs="Open Sans"/>
          <w:color w:val="365F91" w:themeColor="accent1" w:themeShade="BF"/>
          <w:sz w:val="20"/>
          <w:szCs w:val="20"/>
        </w:rPr>
        <w:t>”</w:t>
      </w:r>
      <w:r w:rsidRPr="001572CB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46351">
        <w:rPr>
          <w:rFonts w:ascii="Open Sans" w:hAnsi="Open Sans" w:cs="Open Sans"/>
          <w:color w:val="365F91" w:themeColor="accent1" w:themeShade="BF"/>
          <w:sz w:val="20"/>
          <w:szCs w:val="20"/>
        </w:rPr>
        <w:t>”</w:t>
      </w:r>
      <w:proofErr w:type="gramEnd"/>
      <w:r w:rsidRPr="00C46351">
        <w:rPr>
          <w:rFonts w:ascii="Open Sans" w:hAnsi="Open Sans" w:cs="Open Sans"/>
          <w:color w:val="365F91" w:themeColor="accent1" w:themeShade="BF"/>
          <w:sz w:val="20"/>
          <w:szCs w:val="20"/>
        </w:rPr>
        <w:t>: quelle che</w:t>
      </w:r>
      <w:r w:rsidRPr="00C46351">
        <w:t xml:space="preserve"> </w:t>
      </w:r>
      <w:r w:rsidRPr="00C46351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negli ultimi tre anni hanno esportato 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>per almeno due anni</w:t>
      </w:r>
      <w:r w:rsidRPr="00C46351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, 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e/o </w:t>
      </w:r>
      <w:r w:rsidRPr="00C46351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quelle che esportano 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>in almeno tre mercati esteri</w:t>
      </w:r>
      <w:r w:rsidRPr="00C46351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e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>/o</w:t>
      </w:r>
      <w:r w:rsidRPr="00C46351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quelle che esportano per 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>oltre il</w:t>
      </w:r>
      <w:r w:rsidRPr="00C46351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>20</w:t>
      </w:r>
      <w:r w:rsidRPr="00C46351">
        <w:rPr>
          <w:rFonts w:ascii="Open Sans" w:hAnsi="Open Sans" w:cs="Open Sans"/>
          <w:color w:val="365F91" w:themeColor="accent1" w:themeShade="BF"/>
          <w:sz w:val="20"/>
          <w:szCs w:val="20"/>
        </w:rPr>
        <w:t>% del fatturato</w:t>
      </w:r>
      <w:r w:rsidR="00DE029A">
        <w:rPr>
          <w:rFonts w:ascii="Open Sans" w:hAnsi="Open Sans" w:cs="Open Sans"/>
          <w:color w:val="365F91" w:themeColor="accent1" w:themeShade="BF"/>
          <w:sz w:val="20"/>
          <w:szCs w:val="20"/>
        </w:rPr>
        <w:t>;</w:t>
      </w:r>
    </w:p>
    <w:p w:rsidR="00DE029A" w:rsidRDefault="00DE029A" w:rsidP="00DE029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>
        <w:rPr>
          <w:rFonts w:ascii="Open Sans" w:hAnsi="Open Sans" w:cs="Open Sans"/>
          <w:color w:val="365F91" w:themeColor="accent1" w:themeShade="BF"/>
          <w:sz w:val="20"/>
          <w:szCs w:val="20"/>
        </w:rPr>
        <w:lastRenderedPageBreak/>
        <w:t>operanti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in un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>o dei seguenti settori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:</w:t>
      </w:r>
    </w:p>
    <w:p w:rsidR="00DE029A" w:rsidRDefault="00DE029A" w:rsidP="00DE029A">
      <w:pPr>
        <w:pStyle w:val="Paragrafoelenco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DE029A">
        <w:rPr>
          <w:rFonts w:ascii="Open Sans" w:hAnsi="Open Sans" w:cs="Open Sans"/>
          <w:color w:val="365F91" w:themeColor="accent1" w:themeShade="BF"/>
          <w:sz w:val="20"/>
          <w:szCs w:val="20"/>
        </w:rPr>
        <w:t>Agroalimentare (vitivinicolo, oleario, dolciumi e prodotti da forno, caseario, lavorazione carni e salumi, ecc.)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>;</w:t>
      </w:r>
    </w:p>
    <w:p w:rsidR="0082102B" w:rsidRDefault="0082102B" w:rsidP="0082102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82102B" w:rsidRPr="0082102B" w:rsidRDefault="0082102B" w:rsidP="0082102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DE029A" w:rsidRPr="00DE029A" w:rsidRDefault="00DE029A" w:rsidP="00DE029A">
      <w:pPr>
        <w:pStyle w:val="Paragrafoelenco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DE029A">
        <w:rPr>
          <w:rFonts w:ascii="Open Sans" w:hAnsi="Open Sans" w:cs="Open Sans"/>
          <w:color w:val="365F91" w:themeColor="accent1" w:themeShade="BF"/>
          <w:sz w:val="20"/>
          <w:szCs w:val="20"/>
        </w:rPr>
        <w:t>Meccanica, componentistica e automazione industriale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>;</w:t>
      </w:r>
    </w:p>
    <w:p w:rsidR="00DE029A" w:rsidRPr="00DE029A" w:rsidRDefault="00DE029A" w:rsidP="00DE029A">
      <w:pPr>
        <w:pStyle w:val="Paragrafoelenco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DE029A">
        <w:rPr>
          <w:rFonts w:ascii="Open Sans" w:hAnsi="Open Sans" w:cs="Open Sans"/>
          <w:color w:val="365F91" w:themeColor="accent1" w:themeShade="BF"/>
          <w:sz w:val="20"/>
          <w:szCs w:val="20"/>
        </w:rPr>
        <w:t>Sistema moda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>;</w:t>
      </w:r>
    </w:p>
    <w:p w:rsidR="00DE029A" w:rsidRPr="00DE029A" w:rsidRDefault="00DE029A" w:rsidP="00DE029A">
      <w:pPr>
        <w:pStyle w:val="Paragrafoelenco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DE029A">
        <w:rPr>
          <w:rFonts w:ascii="Open Sans" w:hAnsi="Open Sans" w:cs="Open Sans"/>
          <w:color w:val="365F91" w:themeColor="accent1" w:themeShade="BF"/>
          <w:sz w:val="20"/>
          <w:szCs w:val="20"/>
        </w:rPr>
        <w:t>Arredo, design e sistema casa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>;</w:t>
      </w:r>
    </w:p>
    <w:p w:rsidR="00DE029A" w:rsidRPr="00DE029A" w:rsidRDefault="00DE029A" w:rsidP="00DE029A">
      <w:pPr>
        <w:pStyle w:val="Paragrafoelenco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DE029A">
        <w:rPr>
          <w:rFonts w:ascii="Open Sans" w:hAnsi="Open Sans" w:cs="Open Sans"/>
          <w:color w:val="365F91" w:themeColor="accent1" w:themeShade="BF"/>
          <w:sz w:val="20"/>
          <w:szCs w:val="20"/>
        </w:rPr>
        <w:t>Componenti elettrici ed elettronici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>;</w:t>
      </w:r>
    </w:p>
    <w:p w:rsidR="00DE029A" w:rsidRPr="00DE029A" w:rsidRDefault="00DE029A" w:rsidP="00DE029A">
      <w:pPr>
        <w:pStyle w:val="Paragrafoelenco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DE029A">
        <w:rPr>
          <w:rFonts w:ascii="Open Sans" w:hAnsi="Open Sans" w:cs="Open Sans"/>
          <w:color w:val="365F91" w:themeColor="accent1" w:themeShade="BF"/>
          <w:sz w:val="20"/>
          <w:szCs w:val="20"/>
        </w:rPr>
        <w:t>Gomma e plastica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>;</w:t>
      </w:r>
    </w:p>
    <w:p w:rsidR="00DE029A" w:rsidRPr="00DE029A" w:rsidRDefault="00DE029A" w:rsidP="00DE029A">
      <w:pPr>
        <w:pStyle w:val="Paragrafoelenco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DE029A">
        <w:rPr>
          <w:rFonts w:ascii="Open Sans" w:hAnsi="Open Sans" w:cs="Open Sans"/>
          <w:color w:val="365F91" w:themeColor="accent1" w:themeShade="BF"/>
          <w:sz w:val="20"/>
          <w:szCs w:val="20"/>
        </w:rPr>
        <w:t>Sanità (farmaceutico, elettromedicali, DPI, ecc.)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>;</w:t>
      </w:r>
    </w:p>
    <w:p w:rsidR="00DE029A" w:rsidRPr="00DE029A" w:rsidRDefault="00DE029A" w:rsidP="00DE029A">
      <w:pPr>
        <w:pStyle w:val="Paragrafoelenco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DE029A">
        <w:rPr>
          <w:rFonts w:ascii="Open Sans" w:hAnsi="Open Sans" w:cs="Open Sans"/>
          <w:color w:val="365F91" w:themeColor="accent1" w:themeShade="BF"/>
          <w:sz w:val="20"/>
          <w:szCs w:val="20"/>
        </w:rPr>
        <w:t>Chimica e cosmetica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>;</w:t>
      </w:r>
    </w:p>
    <w:p w:rsidR="00DE029A" w:rsidRPr="00DE029A" w:rsidRDefault="00DE029A" w:rsidP="00DE029A">
      <w:pPr>
        <w:pStyle w:val="Paragrafoelenco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DE029A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ICT e high </w:t>
      </w:r>
      <w:proofErr w:type="spellStart"/>
      <w:r w:rsidRPr="00DE029A">
        <w:rPr>
          <w:rFonts w:ascii="Open Sans" w:hAnsi="Open Sans" w:cs="Open Sans"/>
          <w:color w:val="365F91" w:themeColor="accent1" w:themeShade="BF"/>
          <w:sz w:val="20"/>
          <w:szCs w:val="20"/>
        </w:rPr>
        <w:t>tech</w:t>
      </w:r>
      <w:proofErr w:type="spellEnd"/>
      <w:r>
        <w:rPr>
          <w:rFonts w:ascii="Open Sans" w:hAnsi="Open Sans" w:cs="Open Sans"/>
          <w:color w:val="365F91" w:themeColor="accent1" w:themeShade="BF"/>
          <w:sz w:val="20"/>
          <w:szCs w:val="20"/>
        </w:rPr>
        <w:t>;</w:t>
      </w:r>
    </w:p>
    <w:p w:rsidR="00DE029A" w:rsidRPr="00DE029A" w:rsidRDefault="00DE029A" w:rsidP="00DE029A">
      <w:pPr>
        <w:pStyle w:val="Paragrafoelenco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DE029A">
        <w:rPr>
          <w:rFonts w:ascii="Open Sans" w:hAnsi="Open Sans" w:cs="Open Sans"/>
          <w:color w:val="365F91" w:themeColor="accent1" w:themeShade="BF"/>
          <w:sz w:val="20"/>
          <w:szCs w:val="20"/>
        </w:rPr>
        <w:t>Automotive e altri mezzi di trasporto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>;</w:t>
      </w:r>
    </w:p>
    <w:p w:rsidR="00DE029A" w:rsidRPr="00DE029A" w:rsidRDefault="00DE029A" w:rsidP="00DE029A">
      <w:pPr>
        <w:pStyle w:val="Paragrafoelenco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DE029A">
        <w:rPr>
          <w:rFonts w:ascii="Open Sans" w:hAnsi="Open Sans" w:cs="Open Sans"/>
          <w:color w:val="365F91" w:themeColor="accent1" w:themeShade="BF"/>
          <w:sz w:val="20"/>
          <w:szCs w:val="20"/>
        </w:rPr>
        <w:t>Costruzioni (edilizia, serramenti, vetro, ceramica, ecc.)</w:t>
      </w:r>
    </w:p>
    <w:p w:rsidR="00DE029A" w:rsidRPr="00DE029A" w:rsidRDefault="00DE029A" w:rsidP="00DE029A">
      <w:pPr>
        <w:pStyle w:val="Paragrafoelenco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DE029A">
        <w:rPr>
          <w:rFonts w:ascii="Open Sans" w:hAnsi="Open Sans" w:cs="Open Sans"/>
          <w:color w:val="365F91" w:themeColor="accent1" w:themeShade="BF"/>
          <w:sz w:val="20"/>
          <w:szCs w:val="20"/>
        </w:rPr>
        <w:t>Ambiente ed energia</w:t>
      </w:r>
    </w:p>
    <w:p w:rsidR="00DE029A" w:rsidRDefault="00DE029A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DD72CB" w:rsidRDefault="00DD72CB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2. Per </w:t>
      </w:r>
      <w:r w:rsidR="00DE029A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dimostrare di possedere i requisiti d) ed e) e poter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aderire </w:t>
      </w:r>
      <w:r w:rsidR="00DE029A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così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all’iniziativa</w:t>
      </w:r>
      <w:r w:rsidR="00DE029A">
        <w:rPr>
          <w:rFonts w:ascii="Open Sans" w:hAnsi="Open Sans" w:cs="Open Sans"/>
          <w:color w:val="365F91" w:themeColor="accent1" w:themeShade="BF"/>
          <w:sz w:val="20"/>
          <w:szCs w:val="20"/>
        </w:rPr>
        <w:t>,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è necessario profilarsi sul sito https://www.sostegnoexport.it, compilando il breve</w:t>
      </w:r>
      <w:r w:rsidR="00DE029A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questionario cui si accede con l’apposito link “Sei un’impresa interessata a operare all’estero?”. Il completamento</w:t>
      </w:r>
      <w:r w:rsidR="0030044F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dell’attività di </w:t>
      </w:r>
      <w:proofErr w:type="spellStart"/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profilazione</w:t>
      </w:r>
      <w:proofErr w:type="spellEnd"/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sarà considerata quale condizione vincolante per la valutazione dell’ammissibilità delle</w:t>
      </w:r>
      <w:r w:rsidR="0030044F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imprese candidate.</w:t>
      </w:r>
    </w:p>
    <w:p w:rsidR="0030044F" w:rsidRDefault="0030044F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30044F" w:rsidRPr="00CA6AD6" w:rsidRDefault="0030044F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DD72CB" w:rsidRPr="00CA6AD6" w:rsidRDefault="00DD72CB" w:rsidP="0030044F">
      <w:pPr>
        <w:autoSpaceDE w:val="0"/>
        <w:autoSpaceDN w:val="0"/>
        <w:adjustRightInd w:val="0"/>
        <w:spacing w:after="120" w:line="240" w:lineRule="auto"/>
        <w:jc w:val="both"/>
        <w:rPr>
          <w:rFonts w:ascii="Open Sans" w:hAnsi="Open Sans" w:cs="Open Sans"/>
          <w:b/>
          <w:bCs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b/>
          <w:bCs/>
          <w:color w:val="365F91" w:themeColor="accent1" w:themeShade="BF"/>
          <w:sz w:val="20"/>
          <w:szCs w:val="20"/>
        </w:rPr>
        <w:t>ART.3 ADESIONE</w:t>
      </w:r>
    </w:p>
    <w:p w:rsidR="00DD72CB" w:rsidRPr="00CA6AD6" w:rsidRDefault="00DD72CB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1. Le imprese che vogliano partecipare al presente programma dovranno:</w:t>
      </w:r>
    </w:p>
    <w:p w:rsidR="00DD72CB" w:rsidRPr="00D6223E" w:rsidRDefault="0030044F" w:rsidP="0030044F">
      <w:p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>
        <w:rPr>
          <w:rFonts w:ascii="Open Sans" w:hAnsi="Open Sans" w:cs="Open Sans"/>
          <w:color w:val="365F91" w:themeColor="accent1" w:themeShade="BF"/>
          <w:sz w:val="20"/>
          <w:szCs w:val="20"/>
        </w:rPr>
        <w:t>-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ab/>
      </w:r>
      <w:r w:rsidR="00DD72CB"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Inviare la Scheda di adesione, firmata digitalmente dal legale rappresentante dell’impresa o firmata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="00DD72CB"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calligraficamente con allegata copia di un documento di identità in corso di validità del legale </w:t>
      </w:r>
      <w:r w:rsidR="00DD72CB" w:rsidRPr="00B874AA">
        <w:rPr>
          <w:rFonts w:ascii="Open Sans" w:hAnsi="Open Sans" w:cs="Open Sans"/>
          <w:color w:val="365F91" w:themeColor="accent1" w:themeShade="BF"/>
          <w:sz w:val="20"/>
          <w:szCs w:val="20"/>
        </w:rPr>
        <w:t>rappresentante</w:t>
      </w:r>
      <w:r w:rsidRPr="00B874AA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="00DD72CB" w:rsidRPr="00B874AA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esclusivamente alla </w:t>
      </w:r>
      <w:proofErr w:type="spellStart"/>
      <w:r w:rsidR="00DD72CB" w:rsidRPr="00B874AA">
        <w:rPr>
          <w:rFonts w:ascii="Open Sans" w:hAnsi="Open Sans" w:cs="Open Sans"/>
          <w:color w:val="365F91" w:themeColor="accent1" w:themeShade="BF"/>
          <w:sz w:val="20"/>
          <w:szCs w:val="20"/>
        </w:rPr>
        <w:t>pec</w:t>
      </w:r>
      <w:proofErr w:type="spellEnd"/>
      <w:r w:rsidR="00DD72CB" w:rsidRPr="00B874AA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="00B874AA" w:rsidRPr="00B874AA">
        <w:rPr>
          <w:rFonts w:ascii="Open Sans" w:hAnsi="Open Sans" w:cs="Open Sans"/>
          <w:color w:val="365F91" w:themeColor="accent1" w:themeShade="BF"/>
          <w:sz w:val="20"/>
          <w:szCs w:val="20"/>
        </w:rPr>
        <w:t>calab@pec.it</w:t>
      </w:r>
      <w:r w:rsidR="00DD72CB" w:rsidRPr="00B874AA">
        <w:rPr>
          <w:rFonts w:ascii="Open Sans" w:hAnsi="Open Sans" w:cs="Open Sans"/>
          <w:color w:val="365F91" w:themeColor="accent1" w:themeShade="BF"/>
          <w:sz w:val="20"/>
          <w:szCs w:val="20"/>
        </w:rPr>
        <w:t>, indicando</w:t>
      </w:r>
      <w:r w:rsidR="00DD72CB" w:rsidRPr="00B874AA">
        <w:rPr>
          <w:rFonts w:ascii="Open Sans" w:hAnsi="Open Sans" w:cs="Open Sans"/>
          <w:sz w:val="20"/>
          <w:szCs w:val="20"/>
        </w:rPr>
        <w:t xml:space="preserve"> </w:t>
      </w:r>
      <w:r w:rsidR="00DD72CB" w:rsidRPr="00D6223E">
        <w:rPr>
          <w:rFonts w:ascii="Open Sans" w:hAnsi="Open Sans" w:cs="Open Sans"/>
          <w:color w:val="365F91" w:themeColor="accent1" w:themeShade="BF"/>
          <w:sz w:val="20"/>
          <w:szCs w:val="20"/>
        </w:rPr>
        <w:t>nell’oggetto “PROGETTO</w:t>
      </w:r>
      <w:r w:rsidRPr="00D6223E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STAY EXPORT</w:t>
      </w:r>
      <w:r w:rsidR="00DD72CB" w:rsidRPr="00D6223E">
        <w:rPr>
          <w:rFonts w:ascii="Open Sans" w:hAnsi="Open Sans" w:cs="Open Sans"/>
          <w:color w:val="365F91" w:themeColor="accent1" w:themeShade="BF"/>
          <w:sz w:val="20"/>
          <w:szCs w:val="20"/>
        </w:rPr>
        <w:t>” – Adesione</w:t>
      </w:r>
      <w:r w:rsidRPr="00D6223E">
        <w:rPr>
          <w:rFonts w:ascii="Open Sans" w:hAnsi="Open Sans" w:cs="Open Sans"/>
          <w:color w:val="365F91" w:themeColor="accent1" w:themeShade="BF"/>
          <w:sz w:val="20"/>
          <w:szCs w:val="20"/>
        </w:rPr>
        <w:t>;</w:t>
      </w:r>
    </w:p>
    <w:p w:rsidR="00DD72CB" w:rsidRPr="00CA6AD6" w:rsidRDefault="00DD72CB" w:rsidP="0030044F">
      <w:p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- profilarsi sul sito https://www.sostegnoexport.it, come sopra specificato.</w:t>
      </w:r>
    </w:p>
    <w:p w:rsidR="0030044F" w:rsidRDefault="0030044F" w:rsidP="0030044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0C74E8" w:rsidRPr="00047D1C" w:rsidRDefault="0030044F" w:rsidP="00CA6AD6">
      <w:pPr>
        <w:jc w:val="both"/>
        <w:rPr>
          <w:rFonts w:ascii="Open Sans" w:hAnsi="Open Sans" w:cs="Open Sans"/>
          <w:color w:val="365F91" w:themeColor="accent1" w:themeShade="BF"/>
          <w:sz w:val="20"/>
          <w:szCs w:val="20"/>
          <w:u w:val="single"/>
        </w:rPr>
      </w:pPr>
      <w:r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2. </w:t>
      </w:r>
      <w:r w:rsidR="00DD72CB"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Le Schede di adesio</w:t>
      </w:r>
      <w:r w:rsidR="00C76A9F">
        <w:rPr>
          <w:rFonts w:ascii="Open Sans" w:hAnsi="Open Sans" w:cs="Open Sans"/>
          <w:color w:val="365F91" w:themeColor="accent1" w:themeShade="BF"/>
          <w:sz w:val="20"/>
          <w:szCs w:val="20"/>
        </w:rPr>
        <w:t>ne dovranno pervenire entro</w:t>
      </w:r>
      <w:r w:rsidR="00C76A9F">
        <w:rPr>
          <w:rFonts w:ascii="Open Sans" w:hAnsi="Open Sans" w:cs="Open Sans"/>
          <w:color w:val="365F91" w:themeColor="accent1" w:themeShade="BF"/>
          <w:sz w:val="20"/>
          <w:szCs w:val="20"/>
          <w:u w:val="single"/>
        </w:rPr>
        <w:t xml:space="preserve"> il </w:t>
      </w:r>
      <w:r w:rsidR="00B874AA" w:rsidRPr="00047D1C">
        <w:rPr>
          <w:rFonts w:ascii="Open Sans" w:hAnsi="Open Sans" w:cs="Open Sans"/>
          <w:color w:val="365F91" w:themeColor="accent1" w:themeShade="BF"/>
          <w:sz w:val="20"/>
          <w:szCs w:val="20"/>
          <w:u w:val="single"/>
        </w:rPr>
        <w:t>16</w:t>
      </w:r>
      <w:r w:rsidRPr="00047D1C">
        <w:rPr>
          <w:rFonts w:ascii="Open Sans" w:hAnsi="Open Sans" w:cs="Open Sans"/>
          <w:color w:val="365F91" w:themeColor="accent1" w:themeShade="BF"/>
          <w:sz w:val="20"/>
          <w:szCs w:val="20"/>
          <w:u w:val="single"/>
        </w:rPr>
        <w:t>/</w:t>
      </w:r>
      <w:r w:rsidR="00B874AA" w:rsidRPr="00047D1C">
        <w:rPr>
          <w:rFonts w:ascii="Open Sans" w:hAnsi="Open Sans" w:cs="Open Sans"/>
          <w:color w:val="365F91" w:themeColor="accent1" w:themeShade="BF"/>
          <w:sz w:val="20"/>
          <w:szCs w:val="20"/>
          <w:u w:val="single"/>
        </w:rPr>
        <w:t>11</w:t>
      </w:r>
      <w:r w:rsidRPr="00047D1C">
        <w:rPr>
          <w:rFonts w:ascii="Open Sans" w:hAnsi="Open Sans" w:cs="Open Sans"/>
          <w:color w:val="365F91" w:themeColor="accent1" w:themeShade="BF"/>
          <w:sz w:val="20"/>
          <w:szCs w:val="20"/>
          <w:u w:val="single"/>
        </w:rPr>
        <w:t>/2020</w:t>
      </w:r>
    </w:p>
    <w:p w:rsidR="00DD72CB" w:rsidRPr="00CA6AD6" w:rsidRDefault="0030044F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3. </w:t>
      </w:r>
      <w:r w:rsidR="00DD72CB"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La Camera di Commercio di </w:t>
      </w:r>
      <w:r w:rsidR="00D6223E" w:rsidRPr="00D6223E">
        <w:rPr>
          <w:rFonts w:ascii="Open Sans" w:hAnsi="Open Sans" w:cs="Open Sans"/>
          <w:b/>
          <w:color w:val="365F91" w:themeColor="accent1" w:themeShade="BF"/>
          <w:sz w:val="20"/>
          <w:szCs w:val="20"/>
        </w:rPr>
        <w:t>Cosenza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="00DD72CB"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si riserva la facoltà di richiedere all’impresa eventuali integrazioni della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="00DD72CB"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domanda.</w:t>
      </w:r>
    </w:p>
    <w:p w:rsidR="00323D95" w:rsidRDefault="00323D95" w:rsidP="00323D95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323D95" w:rsidRPr="00CA6AD6" w:rsidRDefault="00323D95" w:rsidP="00323D95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DD72CB" w:rsidRPr="00CA6AD6" w:rsidRDefault="00DD72CB" w:rsidP="0030044F">
      <w:pPr>
        <w:autoSpaceDE w:val="0"/>
        <w:autoSpaceDN w:val="0"/>
        <w:adjustRightInd w:val="0"/>
        <w:spacing w:after="120" w:line="240" w:lineRule="auto"/>
        <w:jc w:val="both"/>
        <w:rPr>
          <w:rFonts w:ascii="Open Sans" w:hAnsi="Open Sans" w:cs="Open Sans"/>
          <w:b/>
          <w:bCs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b/>
          <w:bCs/>
          <w:color w:val="365F91" w:themeColor="accent1" w:themeShade="BF"/>
          <w:sz w:val="20"/>
          <w:szCs w:val="20"/>
        </w:rPr>
        <w:t>ART. 4 – ATTIVITA’ PREVISTE E MODALITA’ DI PARTECIPAZIONE</w:t>
      </w:r>
    </w:p>
    <w:p w:rsidR="00DD72CB" w:rsidRPr="00CA6AD6" w:rsidRDefault="00EC2E65" w:rsidP="00EC2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>
        <w:rPr>
          <w:rFonts w:ascii="Open Sans" w:hAnsi="Open Sans" w:cs="Open Sans"/>
          <w:color w:val="365F91" w:themeColor="accent1" w:themeShade="BF"/>
          <w:sz w:val="20"/>
          <w:szCs w:val="20"/>
        </w:rPr>
        <w:t>1.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ab/>
      </w:r>
      <w:r w:rsidR="00DD72CB"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Le attività progettuali saranno</w:t>
      </w:r>
      <w:r w:rsidR="00875B48">
        <w:rPr>
          <w:rFonts w:ascii="Open Sans" w:hAnsi="Open Sans" w:cs="Open Sans"/>
          <w:color w:val="365F91" w:themeColor="accent1" w:themeShade="BF"/>
          <w:sz w:val="20"/>
          <w:szCs w:val="20"/>
        </w:rPr>
        <w:t>, nel dettaglio,</w:t>
      </w:r>
      <w:r w:rsidR="00DD72CB"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articolate in due fasi:</w:t>
      </w:r>
    </w:p>
    <w:p w:rsidR="00875B48" w:rsidRPr="00CA6AD6" w:rsidRDefault="00DD72CB" w:rsidP="00EC2E6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a) </w:t>
      </w:r>
      <w:r w:rsidR="00875B48" w:rsidRPr="00875B48">
        <w:rPr>
          <w:rFonts w:ascii="Open Sans" w:hAnsi="Open Sans" w:cs="Open Sans"/>
          <w:b/>
          <w:color w:val="365F91" w:themeColor="accent1" w:themeShade="BF"/>
          <w:sz w:val="20"/>
          <w:szCs w:val="20"/>
        </w:rPr>
        <w:t>schede informative</w:t>
      </w:r>
      <w:r w:rsidR="00875B48" w:rsidRPr="00875B48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aggiornate su</w:t>
      </w:r>
      <w:r w:rsidR="00875B48">
        <w:rPr>
          <w:rFonts w:ascii="Open Sans" w:hAnsi="Open Sans" w:cs="Open Sans"/>
          <w:color w:val="365F91" w:themeColor="accent1" w:themeShade="BF"/>
          <w:sz w:val="20"/>
          <w:szCs w:val="20"/>
        </w:rPr>
        <w:t>i</w:t>
      </w:r>
      <w:r w:rsidR="00875B48" w:rsidRPr="00875B48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paes</w:t>
      </w:r>
      <w:r w:rsidR="00875B48">
        <w:rPr>
          <w:rFonts w:ascii="Open Sans" w:hAnsi="Open Sans" w:cs="Open Sans"/>
          <w:color w:val="365F91" w:themeColor="accent1" w:themeShade="BF"/>
          <w:sz w:val="20"/>
          <w:szCs w:val="20"/>
        </w:rPr>
        <w:t>i a maggior interscambio commerciale con l’Italia (fornite dalla Camera di commercio) e una serie di</w:t>
      </w:r>
      <w:r w:rsidR="00875B48" w:rsidRPr="00875B48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="00875B48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seminari </w:t>
      </w:r>
      <w:r w:rsidR="00875B48" w:rsidRPr="00875B48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formativi/informativi fruibili on line </w:t>
      </w:r>
      <w:r w:rsidR="00875B48">
        <w:rPr>
          <w:rFonts w:ascii="Open Sans" w:hAnsi="Open Sans" w:cs="Open Sans"/>
          <w:color w:val="365F91" w:themeColor="accent1" w:themeShade="BF"/>
          <w:sz w:val="20"/>
          <w:szCs w:val="20"/>
        </w:rPr>
        <w:t>(</w:t>
      </w:r>
      <w:proofErr w:type="spellStart"/>
      <w:r w:rsidR="00875B48" w:rsidRPr="00875B48">
        <w:rPr>
          <w:rFonts w:ascii="Open Sans" w:hAnsi="Open Sans" w:cs="Open Sans"/>
          <w:b/>
          <w:color w:val="365F91" w:themeColor="accent1" w:themeShade="BF"/>
          <w:sz w:val="20"/>
          <w:szCs w:val="20"/>
        </w:rPr>
        <w:t>webinar</w:t>
      </w:r>
      <w:proofErr w:type="spellEnd"/>
      <w:r w:rsidR="00875B48">
        <w:rPr>
          <w:rFonts w:ascii="Open Sans" w:hAnsi="Open Sans" w:cs="Open Sans"/>
          <w:color w:val="365F91" w:themeColor="accent1" w:themeShade="BF"/>
          <w:sz w:val="20"/>
          <w:szCs w:val="20"/>
        </w:rPr>
        <w:t>)</w:t>
      </w:r>
      <w:r w:rsidR="00875B48" w:rsidRPr="00875B48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dedicati alle imprese italiane che vogliono affrontare il mercato straniero</w:t>
      </w:r>
      <w:r w:rsidR="00875B48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. </w:t>
      </w:r>
    </w:p>
    <w:p w:rsidR="00875B48" w:rsidRPr="00CA6AD6" w:rsidRDefault="00DD72CB" w:rsidP="00EC2E6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A questa prima fase potr</w:t>
      </w:r>
      <w:r w:rsidR="00875B48">
        <w:rPr>
          <w:rFonts w:ascii="Open Sans" w:hAnsi="Open Sans" w:cs="Open Sans"/>
          <w:color w:val="365F91" w:themeColor="accent1" w:themeShade="BF"/>
          <w:sz w:val="20"/>
          <w:szCs w:val="20"/>
        </w:rPr>
        <w:t>anno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accedere </w:t>
      </w:r>
      <w:r w:rsidR="00875B48">
        <w:rPr>
          <w:rFonts w:ascii="Open Sans" w:hAnsi="Open Sans" w:cs="Open Sans"/>
          <w:color w:val="365F91" w:themeColor="accent1" w:themeShade="BF"/>
          <w:sz w:val="20"/>
          <w:szCs w:val="20"/>
        </w:rPr>
        <w:t>tutte le imprese val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utate ammissibili</w:t>
      </w:r>
      <w:r w:rsidR="00875B48">
        <w:rPr>
          <w:rFonts w:ascii="Open Sans" w:hAnsi="Open Sans" w:cs="Open Sans"/>
          <w:color w:val="365F91" w:themeColor="accent1" w:themeShade="BF"/>
          <w:sz w:val="20"/>
          <w:szCs w:val="20"/>
        </w:rPr>
        <w:t>.</w:t>
      </w:r>
    </w:p>
    <w:p w:rsidR="007464FA" w:rsidRDefault="00DD72CB" w:rsidP="00EC2E65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b) </w:t>
      </w:r>
      <w:r w:rsidR="008D149C">
        <w:rPr>
          <w:rFonts w:ascii="Open Sans" w:hAnsi="Open Sans" w:cs="Open Sans"/>
          <w:color w:val="365F91" w:themeColor="accent1" w:themeShade="BF"/>
          <w:sz w:val="20"/>
          <w:szCs w:val="20"/>
        </w:rPr>
        <w:t>a seguito della partecipazione a</w:t>
      </w:r>
      <w:r w:rsidR="00B20184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un</w:t>
      </w:r>
      <w:r w:rsidR="008D149C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proofErr w:type="spellStart"/>
      <w:r w:rsidR="008D149C">
        <w:rPr>
          <w:rFonts w:ascii="Open Sans" w:hAnsi="Open Sans" w:cs="Open Sans"/>
          <w:color w:val="365F91" w:themeColor="accent1" w:themeShade="BF"/>
          <w:sz w:val="20"/>
          <w:szCs w:val="20"/>
        </w:rPr>
        <w:t>webinar</w:t>
      </w:r>
      <w:proofErr w:type="spellEnd"/>
      <w:r w:rsidR="008D149C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="00B20184">
        <w:rPr>
          <w:rFonts w:ascii="Open Sans" w:hAnsi="Open Sans" w:cs="Open Sans"/>
          <w:color w:val="365F91" w:themeColor="accent1" w:themeShade="BF"/>
          <w:sz w:val="20"/>
          <w:szCs w:val="20"/>
        </w:rPr>
        <w:t>organizzato da una Camera di Commercio Italiana all’Estero</w:t>
      </w:r>
      <w:r w:rsidR="004420FF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(CCIE)</w:t>
      </w:r>
      <w:r w:rsidR="008D149C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, le imprese considerate maggiormente pronte per aprirsi a quello specifico mercato </w:t>
      </w:r>
      <w:r w:rsidR="004420FF">
        <w:rPr>
          <w:rFonts w:ascii="Open Sans" w:hAnsi="Open Sans" w:cs="Open Sans"/>
          <w:color w:val="365F91" w:themeColor="accent1" w:themeShade="BF"/>
          <w:sz w:val="20"/>
          <w:szCs w:val="20"/>
        </w:rPr>
        <w:t>potranno concorrere a un servizio</w:t>
      </w:r>
      <w:r w:rsidR="004420FF" w:rsidRPr="008D149C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di </w:t>
      </w:r>
      <w:r w:rsidR="004420FF" w:rsidRPr="004420FF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orientamento individuale </w:t>
      </w:r>
      <w:r w:rsidR="004420FF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a distanza </w:t>
      </w:r>
      <w:r w:rsidR="004420FF" w:rsidRPr="008D149C">
        <w:rPr>
          <w:rFonts w:ascii="Open Sans" w:hAnsi="Open Sans" w:cs="Open Sans"/>
          <w:color w:val="365F91" w:themeColor="accent1" w:themeShade="BF"/>
          <w:sz w:val="20"/>
          <w:szCs w:val="20"/>
        </w:rPr>
        <w:t>(</w:t>
      </w:r>
      <w:r w:rsidR="004420FF" w:rsidRPr="00B20184">
        <w:rPr>
          <w:rFonts w:ascii="Open Sans" w:hAnsi="Open Sans" w:cs="Open Sans"/>
          <w:b/>
          <w:color w:val="365F91" w:themeColor="accent1" w:themeShade="BF"/>
          <w:sz w:val="20"/>
          <w:szCs w:val="20"/>
        </w:rPr>
        <w:t>web-</w:t>
      </w:r>
      <w:proofErr w:type="spellStart"/>
      <w:r w:rsidR="004420FF" w:rsidRPr="00B20184">
        <w:rPr>
          <w:rFonts w:ascii="Open Sans" w:hAnsi="Open Sans" w:cs="Open Sans"/>
          <w:b/>
          <w:color w:val="365F91" w:themeColor="accent1" w:themeShade="BF"/>
          <w:sz w:val="20"/>
          <w:szCs w:val="20"/>
        </w:rPr>
        <w:t>mentoring</w:t>
      </w:r>
      <w:proofErr w:type="spellEnd"/>
      <w:r w:rsidR="004420FF" w:rsidRPr="008D149C">
        <w:rPr>
          <w:rFonts w:ascii="Open Sans" w:hAnsi="Open Sans" w:cs="Open Sans"/>
          <w:color w:val="365F91" w:themeColor="accent1" w:themeShade="BF"/>
          <w:sz w:val="20"/>
          <w:szCs w:val="20"/>
        </w:rPr>
        <w:t>)</w:t>
      </w:r>
      <w:r w:rsidR="00914F83">
        <w:rPr>
          <w:rStyle w:val="Rimandonotaapidipagina"/>
          <w:rFonts w:ascii="Open Sans" w:hAnsi="Open Sans" w:cs="Open Sans"/>
          <w:color w:val="365F91" w:themeColor="accent1" w:themeShade="BF"/>
          <w:sz w:val="20"/>
          <w:szCs w:val="20"/>
        </w:rPr>
        <w:footnoteReference w:id="1"/>
      </w:r>
      <w:r w:rsidR="00914F83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="004420FF">
        <w:rPr>
          <w:rFonts w:ascii="Open Sans" w:hAnsi="Open Sans" w:cs="Open Sans"/>
          <w:color w:val="365F91" w:themeColor="accent1" w:themeShade="BF"/>
          <w:sz w:val="20"/>
          <w:szCs w:val="20"/>
        </w:rPr>
        <w:t>per rispondere a</w:t>
      </w:r>
      <w:r w:rsidR="004420FF" w:rsidRPr="004420FF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esigenze di approfondimento</w:t>
      </w:r>
      <w:r w:rsidR="004420FF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, </w:t>
      </w:r>
      <w:r w:rsidR="004420FF" w:rsidRPr="004420FF">
        <w:rPr>
          <w:rFonts w:ascii="Open Sans" w:hAnsi="Open Sans" w:cs="Open Sans"/>
          <w:color w:val="365F91" w:themeColor="accent1" w:themeShade="BF"/>
          <w:sz w:val="20"/>
          <w:szCs w:val="20"/>
        </w:rPr>
        <w:t>della durata orientativa di 90 minuti</w:t>
      </w:r>
      <w:r w:rsidR="004420FF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(</w:t>
      </w:r>
      <w:r w:rsidR="004420FF" w:rsidRPr="004420FF">
        <w:rPr>
          <w:rFonts w:ascii="Open Sans" w:hAnsi="Open Sans" w:cs="Open Sans"/>
          <w:color w:val="365F91" w:themeColor="accent1" w:themeShade="BF"/>
          <w:sz w:val="20"/>
          <w:szCs w:val="20"/>
        </w:rPr>
        <w:t>in una sola seduta o più</w:t>
      </w:r>
      <w:r w:rsidR="004420FF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). </w:t>
      </w:r>
    </w:p>
    <w:p w:rsidR="0082102B" w:rsidRDefault="0082102B" w:rsidP="00EC2E6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82102B" w:rsidRDefault="0082102B" w:rsidP="00EC2E6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82102B" w:rsidRDefault="0082102B" w:rsidP="00EC2E6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7464FA" w:rsidRPr="00CA6AD6" w:rsidRDefault="007464FA" w:rsidP="00EC2E6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A quest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>o servizio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potr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à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accedere 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un numero massimo di </w:t>
      </w:r>
      <w:r w:rsidR="00C0370B">
        <w:rPr>
          <w:rFonts w:ascii="Open Sans" w:hAnsi="Open Sans" w:cs="Open Sans"/>
          <w:color w:val="365F91" w:themeColor="accent1" w:themeShade="BF"/>
          <w:sz w:val="20"/>
          <w:szCs w:val="20"/>
        </w:rPr>
        <w:t>10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imprese per ciascun </w:t>
      </w:r>
      <w:proofErr w:type="spellStart"/>
      <w:r>
        <w:rPr>
          <w:rFonts w:ascii="Open Sans" w:hAnsi="Open Sans" w:cs="Open Sans"/>
          <w:color w:val="365F91" w:themeColor="accent1" w:themeShade="BF"/>
          <w:sz w:val="20"/>
          <w:szCs w:val="20"/>
        </w:rPr>
        <w:t>webinar</w:t>
      </w:r>
      <w:proofErr w:type="spellEnd"/>
      <w:r w:rsidR="00C0370B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(sulla base del paese prescelto), selezionate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sulla base dell’ordine di invio della domanda di iscrizione al </w:t>
      </w:r>
      <w:proofErr w:type="spellStart"/>
      <w:r>
        <w:rPr>
          <w:rFonts w:ascii="Open Sans" w:hAnsi="Open Sans" w:cs="Open Sans"/>
          <w:color w:val="365F91" w:themeColor="accent1" w:themeShade="BF"/>
          <w:sz w:val="20"/>
          <w:szCs w:val="20"/>
        </w:rPr>
        <w:t>webinar</w:t>
      </w:r>
      <w:proofErr w:type="spellEnd"/>
      <w:r w:rsidR="00C0370B">
        <w:rPr>
          <w:rFonts w:ascii="Open Sans" w:hAnsi="Open Sans" w:cs="Open Sans"/>
          <w:color w:val="365F91" w:themeColor="accent1" w:themeShade="BF"/>
          <w:sz w:val="20"/>
          <w:szCs w:val="20"/>
        </w:rPr>
        <w:t>.</w:t>
      </w:r>
    </w:p>
    <w:p w:rsidR="0082102B" w:rsidRDefault="0082102B" w:rsidP="00EC2E6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EC2E65" w:rsidRDefault="0002384C" w:rsidP="00EC2E6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>
        <w:rPr>
          <w:rFonts w:ascii="Open Sans" w:hAnsi="Open Sans" w:cs="Open Sans"/>
          <w:color w:val="365F91" w:themeColor="accent1" w:themeShade="BF"/>
          <w:sz w:val="20"/>
          <w:szCs w:val="20"/>
        </w:rPr>
        <w:t>Per un numero più ristretto di paesi</w:t>
      </w:r>
      <w:r w:rsidR="00226761">
        <w:rPr>
          <w:rFonts w:ascii="Open Sans" w:hAnsi="Open Sans" w:cs="Open Sans"/>
          <w:color w:val="365F91" w:themeColor="accent1" w:themeShade="BF"/>
          <w:sz w:val="20"/>
          <w:szCs w:val="20"/>
        </w:rPr>
        <w:t>,</w:t>
      </w:r>
      <w:r>
        <w:rPr>
          <w:rStyle w:val="Rimandonotaapidipagina"/>
          <w:rFonts w:ascii="Open Sans" w:hAnsi="Open Sans" w:cs="Open Sans"/>
          <w:color w:val="365F91" w:themeColor="accent1" w:themeShade="BF"/>
          <w:sz w:val="20"/>
          <w:szCs w:val="20"/>
        </w:rPr>
        <w:footnoteReference w:id="2"/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="00226761">
        <w:rPr>
          <w:rFonts w:ascii="Open Sans" w:hAnsi="Open Sans" w:cs="Open Sans"/>
          <w:color w:val="365F91" w:themeColor="accent1" w:themeShade="BF"/>
          <w:sz w:val="20"/>
          <w:szCs w:val="20"/>
        </w:rPr>
        <w:t>successivamente al web-</w:t>
      </w:r>
      <w:proofErr w:type="spellStart"/>
      <w:r w:rsidR="00226761">
        <w:rPr>
          <w:rFonts w:ascii="Open Sans" w:hAnsi="Open Sans" w:cs="Open Sans"/>
          <w:color w:val="365F91" w:themeColor="accent1" w:themeShade="BF"/>
          <w:sz w:val="20"/>
          <w:szCs w:val="20"/>
        </w:rPr>
        <w:t>mentoring</w:t>
      </w:r>
      <w:proofErr w:type="spellEnd"/>
      <w:r w:rsidR="00226761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le imprese riceveranno 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un </w:t>
      </w:r>
      <w:r w:rsidR="008D149C" w:rsidRPr="008D149C">
        <w:rPr>
          <w:rFonts w:ascii="Open Sans" w:hAnsi="Open Sans" w:cs="Open Sans"/>
          <w:color w:val="365F91" w:themeColor="accent1" w:themeShade="BF"/>
          <w:sz w:val="20"/>
          <w:szCs w:val="20"/>
        </w:rPr>
        <w:t>ulterior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>e</w:t>
      </w:r>
      <w:r w:rsidR="008D149C" w:rsidRPr="008D149C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="00226761" w:rsidRPr="00EC2E65">
        <w:rPr>
          <w:rFonts w:ascii="Open Sans" w:hAnsi="Open Sans" w:cs="Open Sans"/>
          <w:b/>
          <w:color w:val="365F91" w:themeColor="accent1" w:themeShade="BF"/>
          <w:sz w:val="20"/>
          <w:szCs w:val="20"/>
        </w:rPr>
        <w:t xml:space="preserve">servizio </w:t>
      </w:r>
      <w:r w:rsidR="008D149C" w:rsidRPr="00EC2E65">
        <w:rPr>
          <w:rFonts w:ascii="Open Sans" w:hAnsi="Open Sans" w:cs="Open Sans"/>
          <w:b/>
          <w:color w:val="365F91" w:themeColor="accent1" w:themeShade="BF"/>
          <w:sz w:val="20"/>
          <w:szCs w:val="20"/>
        </w:rPr>
        <w:t>di assistenza specialistica</w:t>
      </w:r>
      <w:r w:rsidR="008D149C" w:rsidRPr="008D149C">
        <w:rPr>
          <w:rFonts w:ascii="Open Sans" w:hAnsi="Open Sans" w:cs="Open Sans"/>
          <w:color w:val="365F91" w:themeColor="accent1" w:themeShade="BF"/>
          <w:sz w:val="20"/>
          <w:szCs w:val="20"/>
        </w:rPr>
        <w:t>, a carattere individuale</w:t>
      </w:r>
      <w:r w:rsidR="0097740A">
        <w:rPr>
          <w:rFonts w:ascii="Open Sans" w:hAnsi="Open Sans" w:cs="Open Sans"/>
          <w:color w:val="365F91" w:themeColor="accent1" w:themeShade="BF"/>
          <w:sz w:val="20"/>
          <w:szCs w:val="20"/>
        </w:rPr>
        <w:t>, per aiutarle a muovere i primi passi</w:t>
      </w:r>
      <w:r w:rsidR="0097740A" w:rsidRPr="0097740A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in maniera corretta </w:t>
      </w:r>
      <w:r w:rsidR="0097740A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sullo specifico mercato </w:t>
      </w:r>
      <w:r w:rsidR="0097740A" w:rsidRPr="0097740A">
        <w:rPr>
          <w:rFonts w:ascii="Open Sans" w:hAnsi="Open Sans" w:cs="Open Sans"/>
          <w:color w:val="365F91" w:themeColor="accent1" w:themeShade="BF"/>
          <w:sz w:val="20"/>
          <w:szCs w:val="20"/>
        </w:rPr>
        <w:t>estero (consulenza fiscale, legale, finanziaria, scientifica e tecnologica, etc.)</w:t>
      </w:r>
      <w:r w:rsidR="008D149C" w:rsidRPr="008D149C">
        <w:rPr>
          <w:rFonts w:ascii="Open Sans" w:hAnsi="Open Sans" w:cs="Open Sans"/>
          <w:color w:val="365F91" w:themeColor="accent1" w:themeShade="BF"/>
          <w:sz w:val="20"/>
          <w:szCs w:val="20"/>
        </w:rPr>
        <w:t>.</w:t>
      </w:r>
    </w:p>
    <w:p w:rsidR="00EC2E65" w:rsidRDefault="00EC2E65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EC2E65" w:rsidRDefault="00DD72CB" w:rsidP="00EC2E65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2. Le imprese aderenti riceveranno apposite comunicazioni dal responsabile del procedimento all’indirizzo </w:t>
      </w:r>
      <w:proofErr w:type="spellStart"/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pec</w:t>
      </w:r>
      <w:proofErr w:type="spellEnd"/>
      <w:r w:rsidR="00EC2E65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dell’impresa, contenente l’ammissione all’iniziativa e la conferma della partecipazione </w:t>
      </w:r>
      <w:r w:rsidR="00EC2E65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ai </w:t>
      </w:r>
      <w:proofErr w:type="spellStart"/>
      <w:r w:rsidR="00EC2E65">
        <w:rPr>
          <w:rFonts w:ascii="Open Sans" w:hAnsi="Open Sans" w:cs="Open Sans"/>
          <w:color w:val="365F91" w:themeColor="accent1" w:themeShade="BF"/>
          <w:sz w:val="20"/>
          <w:szCs w:val="20"/>
        </w:rPr>
        <w:t>webinar</w:t>
      </w:r>
      <w:proofErr w:type="spellEnd"/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. </w:t>
      </w:r>
    </w:p>
    <w:p w:rsidR="00CD4E2C" w:rsidRDefault="00CD4E2C" w:rsidP="00EC2E65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DD72CB" w:rsidRDefault="00DD72CB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3. Le imprese ammesse alla seconda fase del progetto (</w:t>
      </w:r>
      <w:r w:rsidR="00A3312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pacchetto composto da </w:t>
      </w:r>
      <w:r w:rsidR="00EC2E65">
        <w:rPr>
          <w:rFonts w:ascii="Open Sans" w:hAnsi="Open Sans" w:cs="Open Sans"/>
          <w:color w:val="365F91" w:themeColor="accent1" w:themeShade="BF"/>
          <w:sz w:val="20"/>
          <w:szCs w:val="20"/>
        </w:rPr>
        <w:t>web-</w:t>
      </w:r>
      <w:proofErr w:type="spellStart"/>
      <w:r w:rsidR="00EC2E65">
        <w:rPr>
          <w:rFonts w:ascii="Open Sans" w:hAnsi="Open Sans" w:cs="Open Sans"/>
          <w:color w:val="365F91" w:themeColor="accent1" w:themeShade="BF"/>
          <w:sz w:val="20"/>
          <w:szCs w:val="20"/>
        </w:rPr>
        <w:t>mentoring</w:t>
      </w:r>
      <w:proofErr w:type="spellEnd"/>
      <w:r w:rsidR="00EC2E65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e</w:t>
      </w:r>
      <w:r w:rsidR="00A33126">
        <w:rPr>
          <w:rFonts w:ascii="Open Sans" w:hAnsi="Open Sans" w:cs="Open Sans"/>
          <w:color w:val="365F91" w:themeColor="accent1" w:themeShade="BF"/>
          <w:sz w:val="20"/>
          <w:szCs w:val="20"/>
        </w:rPr>
        <w:t>, per alcuni paesi,</w:t>
      </w:r>
      <w:r w:rsidR="00EC2E65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="00987348">
        <w:rPr>
          <w:rFonts w:ascii="Open Sans" w:hAnsi="Open Sans" w:cs="Open Sans"/>
          <w:color w:val="365F91" w:themeColor="accent1" w:themeShade="BF"/>
          <w:sz w:val="20"/>
          <w:szCs w:val="20"/>
        </w:rPr>
        <w:t>assistenza</w:t>
      </w:r>
      <w:r w:rsidR="00EC2E65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specialistic</w:t>
      </w:r>
      <w:r w:rsidR="00987348">
        <w:rPr>
          <w:rFonts w:ascii="Open Sans" w:hAnsi="Open Sans" w:cs="Open Sans"/>
          <w:color w:val="365F91" w:themeColor="accent1" w:themeShade="BF"/>
          <w:sz w:val="20"/>
          <w:szCs w:val="20"/>
        </w:rPr>
        <w:t>a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) riceveranno apposita comunicazione</w:t>
      </w:r>
      <w:r w:rsidR="00EC2E65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da parte del responsabile del procedimento. A tali imprese verrà comunicato l’importo</w:t>
      </w:r>
      <w:r w:rsidR="00A3312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dell’aiuto de </w:t>
      </w:r>
      <w:proofErr w:type="spellStart"/>
      <w:r w:rsidR="00A33126">
        <w:rPr>
          <w:rFonts w:ascii="Open Sans" w:hAnsi="Open Sans" w:cs="Open Sans"/>
          <w:color w:val="365F91" w:themeColor="accent1" w:themeShade="BF"/>
          <w:sz w:val="20"/>
          <w:szCs w:val="20"/>
        </w:rPr>
        <w:t>minimis</w:t>
      </w:r>
      <w:proofErr w:type="spellEnd"/>
      <w:r w:rsidR="00A3312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concesso, che sarà comunque </w:t>
      </w:r>
      <w:r w:rsidR="00987348">
        <w:rPr>
          <w:rFonts w:ascii="Open Sans" w:hAnsi="Open Sans" w:cs="Open Sans"/>
          <w:color w:val="365F91" w:themeColor="accent1" w:themeShade="BF"/>
          <w:sz w:val="20"/>
          <w:szCs w:val="20"/>
        </w:rPr>
        <w:t>non superiore</w:t>
      </w:r>
      <w:r w:rsidR="00A3312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a euro 2.600 per </w:t>
      </w:r>
      <w:r w:rsidR="00987348">
        <w:rPr>
          <w:rFonts w:ascii="Open Sans" w:hAnsi="Open Sans" w:cs="Open Sans"/>
          <w:color w:val="365F91" w:themeColor="accent1" w:themeShade="BF"/>
          <w:sz w:val="20"/>
          <w:szCs w:val="20"/>
        </w:rPr>
        <w:t>qualsiasi</w:t>
      </w:r>
      <w:r w:rsidR="00A3312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paese per il quale si riceverà il servizio.</w:t>
      </w:r>
    </w:p>
    <w:p w:rsidR="00A33126" w:rsidRPr="00CA6AD6" w:rsidRDefault="00A33126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DD72CB" w:rsidRDefault="00DD72CB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4. Le imprese selezionate dovranno avvertire dell’eventuale impossibilità (per gravi e non prevedibili motivi) a</w:t>
      </w:r>
      <w:r w:rsidR="00A3312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partecipare alle iniziative programmate per le quali avranno ricevuto relativa comunicazione di ammissione, entro </w:t>
      </w:r>
      <w:proofErr w:type="gramStart"/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i n.</w:t>
      </w:r>
      <w:proofErr w:type="gramEnd"/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7</w:t>
      </w:r>
      <w:r w:rsidR="00A3312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giorni antecedenti la data prevista delle stesse.</w:t>
      </w:r>
    </w:p>
    <w:p w:rsidR="00A33126" w:rsidRDefault="00A33126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A33126" w:rsidRPr="00CA6AD6" w:rsidRDefault="00A33126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DD72CB" w:rsidRPr="00CA6AD6" w:rsidRDefault="00DD72CB" w:rsidP="00A33126">
      <w:pPr>
        <w:autoSpaceDE w:val="0"/>
        <w:autoSpaceDN w:val="0"/>
        <w:adjustRightInd w:val="0"/>
        <w:spacing w:after="120" w:line="240" w:lineRule="auto"/>
        <w:jc w:val="both"/>
        <w:rPr>
          <w:rFonts w:ascii="Open Sans" w:hAnsi="Open Sans" w:cs="Open Sans"/>
          <w:b/>
          <w:bCs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b/>
          <w:bCs/>
          <w:color w:val="365F91" w:themeColor="accent1" w:themeShade="BF"/>
          <w:sz w:val="20"/>
          <w:szCs w:val="20"/>
        </w:rPr>
        <w:t>ART. 5 - REGIME COMUNITARIO</w:t>
      </w:r>
    </w:p>
    <w:p w:rsidR="00DD72CB" w:rsidRPr="00CA6AD6" w:rsidRDefault="00DD72CB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1. Gli aiuti relativi alla definizione del </w:t>
      </w:r>
      <w:r w:rsidR="00A33126" w:rsidRPr="00A3312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pacchetto </w:t>
      </w:r>
      <w:r w:rsidR="00A3312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di servizio </w:t>
      </w:r>
      <w:r w:rsidR="00A33126" w:rsidRPr="00A33126">
        <w:rPr>
          <w:rFonts w:ascii="Open Sans" w:hAnsi="Open Sans" w:cs="Open Sans"/>
          <w:color w:val="365F91" w:themeColor="accent1" w:themeShade="BF"/>
          <w:sz w:val="20"/>
          <w:szCs w:val="20"/>
        </w:rPr>
        <w:t>composto da web-</w:t>
      </w:r>
      <w:proofErr w:type="spellStart"/>
      <w:r w:rsidR="00A33126" w:rsidRPr="00A33126">
        <w:rPr>
          <w:rFonts w:ascii="Open Sans" w:hAnsi="Open Sans" w:cs="Open Sans"/>
          <w:color w:val="365F91" w:themeColor="accent1" w:themeShade="BF"/>
          <w:sz w:val="20"/>
          <w:szCs w:val="20"/>
        </w:rPr>
        <w:t>mentoring</w:t>
      </w:r>
      <w:proofErr w:type="spellEnd"/>
      <w:r w:rsidR="00A33126" w:rsidRPr="00A3312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e, per alcuni pa</w:t>
      </w:r>
      <w:r w:rsidR="00A33126">
        <w:rPr>
          <w:rFonts w:ascii="Open Sans" w:hAnsi="Open Sans" w:cs="Open Sans"/>
          <w:color w:val="365F91" w:themeColor="accent1" w:themeShade="BF"/>
          <w:sz w:val="20"/>
          <w:szCs w:val="20"/>
        </w:rPr>
        <w:t>esi, orientamento specialistico</w:t>
      </w:r>
      <w:r w:rsidR="00A33126" w:rsidRPr="00A3312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sono concessi, in regime “de </w:t>
      </w:r>
      <w:proofErr w:type="spellStart"/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minimis</w:t>
      </w:r>
      <w:proofErr w:type="spellEnd"/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”, ai sensi dei</w:t>
      </w:r>
      <w:r w:rsidR="00A3312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Regolamenti n. 1407/2013 o n. 1408/2013 del 18.12.2013 (GUUE L 352 del 24.12.2013) - come modificato dal</w:t>
      </w:r>
      <w:r w:rsidR="00B71BD1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Regolamento n. 2019/316 del 21.2.2019 (GUUE L 51I del 22.2.2019) - ovvero del Regolamento n. 717/2014 del 27 giugno</w:t>
      </w:r>
      <w:r w:rsidR="00B71BD1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2014 (GUUE L 190 del 28.6.2014).</w:t>
      </w:r>
    </w:p>
    <w:p w:rsidR="00DD72CB" w:rsidRPr="00CA6AD6" w:rsidRDefault="00DD72CB" w:rsidP="00B71BD1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2. In base a tali Regolamenti, l’importo complessivo degli aiuti “de </w:t>
      </w:r>
      <w:proofErr w:type="spellStart"/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minimis</w:t>
      </w:r>
      <w:proofErr w:type="spellEnd"/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” accordati ad un’impresa “unica”</w:t>
      </w:r>
      <w:r w:rsidRPr="00CA6AD6">
        <w:rPr>
          <w:rStyle w:val="Rimandonotaapidipagina"/>
          <w:rFonts w:ascii="Open Sans" w:hAnsi="Open Sans" w:cs="Open Sans"/>
          <w:color w:val="365F91" w:themeColor="accent1" w:themeShade="BF"/>
          <w:sz w:val="20"/>
          <w:szCs w:val="20"/>
        </w:rPr>
        <w:footnoteReference w:id="3"/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13"/>
          <w:szCs w:val="13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non può</w:t>
      </w:r>
      <w:r w:rsidR="00B71BD1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superare i massimali pertinenti nell’arco di tre esercizi finanziari. Su richiesta della Camera, il rappresentante legale di</w:t>
      </w:r>
      <w:r w:rsidR="00B71BD1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ogni impresa rilascerà idonea dichiarazione in merito.</w:t>
      </w:r>
    </w:p>
    <w:p w:rsidR="00DD72CB" w:rsidRDefault="00DD72CB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3. Per quanto non disciplinato o definito espressamente dal presente bando si fa rinvio ai suddetti Regolamenti; in</w:t>
      </w:r>
      <w:r w:rsidR="00E73344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ogni caso</w:t>
      </w:r>
      <w:r w:rsidR="00E73344">
        <w:rPr>
          <w:rFonts w:ascii="Open Sans" w:hAnsi="Open Sans" w:cs="Open Sans"/>
          <w:color w:val="365F91" w:themeColor="accent1" w:themeShade="BF"/>
          <w:sz w:val="20"/>
          <w:szCs w:val="20"/>
        </w:rPr>
        <w:t>,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nulla di quanto previsto nel presente Bando può essere interpretato in maniera difforme rispetto a quanto</w:t>
      </w:r>
      <w:r w:rsidR="00E73344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stabilito dalle norme pertinenti di tali Regolamenti.</w:t>
      </w:r>
    </w:p>
    <w:p w:rsidR="00E73344" w:rsidRDefault="00E73344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82102B" w:rsidRDefault="0082102B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82102B" w:rsidRDefault="0082102B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82102B" w:rsidRDefault="0082102B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82102B" w:rsidRDefault="0082102B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E73344" w:rsidRPr="00CA6AD6" w:rsidRDefault="00E73344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DD72CB" w:rsidRPr="00CA6AD6" w:rsidRDefault="00DD72CB" w:rsidP="00E73344">
      <w:pPr>
        <w:autoSpaceDE w:val="0"/>
        <w:autoSpaceDN w:val="0"/>
        <w:adjustRightInd w:val="0"/>
        <w:spacing w:after="120" w:line="240" w:lineRule="auto"/>
        <w:jc w:val="both"/>
        <w:rPr>
          <w:rFonts w:ascii="Open Sans" w:hAnsi="Open Sans" w:cs="Open Sans"/>
          <w:b/>
          <w:bCs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b/>
          <w:bCs/>
          <w:color w:val="365F91" w:themeColor="accent1" w:themeShade="BF"/>
          <w:sz w:val="20"/>
          <w:szCs w:val="20"/>
        </w:rPr>
        <w:t>ART. 6 – DISPOSIZIONI FINALI</w:t>
      </w:r>
    </w:p>
    <w:p w:rsidR="00DD72CB" w:rsidRDefault="00DD72CB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1. Ai sensi della L. 241/90 “Nuove norme in materia di procedimento amministrativo e di diritto di accesso ai</w:t>
      </w:r>
      <w:r w:rsidR="00E73344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documenti amministrativi” e </w:t>
      </w:r>
      <w:proofErr w:type="spellStart"/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ss.</w:t>
      </w:r>
      <w:proofErr w:type="gramStart"/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mm.ii</w:t>
      </w:r>
      <w:proofErr w:type="spellEnd"/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.</w:t>
      </w:r>
      <w:proofErr w:type="gramEnd"/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il procedimento amministrativo riferito alla presente manifestazione di</w:t>
      </w:r>
      <w:r w:rsidR="00E73344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i</w:t>
      </w:r>
      <w:r w:rsidR="005E6851">
        <w:rPr>
          <w:rFonts w:ascii="Open Sans" w:hAnsi="Open Sans" w:cs="Open Sans"/>
          <w:color w:val="365F91" w:themeColor="accent1" w:themeShade="BF"/>
          <w:sz w:val="20"/>
          <w:szCs w:val="20"/>
        </w:rPr>
        <w:t>nteresse è assegnato all’Ufficio Agenda Digitale e Struttura di Controllo</w:t>
      </w:r>
      <w:r w:rsidRPr="00D6223E">
        <w:rPr>
          <w:rFonts w:ascii="Open Sans" w:hAnsi="Open Sans" w:cs="Open Sans"/>
          <w:color w:val="FF0000"/>
          <w:sz w:val="20"/>
          <w:szCs w:val="20"/>
        </w:rPr>
        <w:t xml:space="preserve"> </w:t>
      </w:r>
      <w:r w:rsidR="005E6851" w:rsidRPr="005E6851">
        <w:rPr>
          <w:rFonts w:ascii="Open Sans" w:hAnsi="Open Sans" w:cs="Open Sans"/>
          <w:color w:val="365F91" w:themeColor="accent1" w:themeShade="BF"/>
          <w:sz w:val="20"/>
          <w:szCs w:val="20"/>
        </w:rPr>
        <w:t>nella persona della Responsabile Dott.ssa Brunella Dho</w:t>
      </w:r>
      <w:r w:rsidR="005E6851" w:rsidRPr="005E6851">
        <w:rPr>
          <w:rFonts w:ascii="Open Sans" w:hAnsi="Open Sans" w:cs="Open Sans"/>
          <w:sz w:val="20"/>
          <w:szCs w:val="20"/>
        </w:rPr>
        <w:t>.</w:t>
      </w:r>
      <w:r w:rsidRPr="005E6851">
        <w:rPr>
          <w:rFonts w:ascii="Open Sans" w:hAnsi="Open Sans" w:cs="Open Sans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L’inizio del procedimento coincide con la data</w:t>
      </w:r>
      <w:r w:rsidR="00E73344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di protocollazione della domanda.</w:t>
      </w:r>
    </w:p>
    <w:p w:rsidR="00E73344" w:rsidRPr="00CA6AD6" w:rsidRDefault="00E73344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DD72CB" w:rsidRDefault="00DD72CB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2. I dati acquisiti in esecuzione della presente manifestazione di interesse e dalla scheda di adesione saranno utilizzati</w:t>
      </w:r>
      <w:r w:rsidR="00E73344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esclusivamente per gli scopi previsti dalla manifestazione di interesse e saranno oggetto di trattamento svolto con o</w:t>
      </w:r>
      <w:r w:rsidR="00E73344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senza l’ausilio di sistemi informatici, nel pieno rispetto delle leggi e dei regolamenti vigenti, ai sensi del </w:t>
      </w:r>
      <w:proofErr w:type="gramStart"/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D.Lgs</w:t>
      </w:r>
      <w:proofErr w:type="gramEnd"/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.196/2003 e del Regolamento UE 679/2016.</w:t>
      </w:r>
    </w:p>
    <w:p w:rsidR="00E73344" w:rsidRPr="00CA6AD6" w:rsidRDefault="00E73344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DD72CB" w:rsidRPr="00330310" w:rsidRDefault="00DD72CB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3. Il titolare dei dati forniti è la Camera di Commercio, Industria, Artigianato e Agricoltura di </w:t>
      </w:r>
      <w:proofErr w:type="gramStart"/>
      <w:r w:rsidR="00D6223E" w:rsidRPr="00D6223E">
        <w:rPr>
          <w:rFonts w:ascii="Open Sans" w:hAnsi="Open Sans" w:cs="Open Sans"/>
          <w:color w:val="365F91" w:themeColor="accent1" w:themeShade="BF"/>
          <w:sz w:val="20"/>
          <w:szCs w:val="20"/>
        </w:rPr>
        <w:t>Cosenza</w:t>
      </w:r>
      <w:r w:rsidR="00E73344"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con</w:t>
      </w:r>
      <w:proofErr w:type="gramEnd"/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sede</w:t>
      </w:r>
      <w:r w:rsidR="00E73344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="0082102B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in </w:t>
      </w:r>
      <w:r w:rsidR="0082102B" w:rsidRPr="00330310">
        <w:rPr>
          <w:rFonts w:ascii="Open Sans" w:hAnsi="Open Sans" w:cs="Open Sans"/>
          <w:color w:val="365F91" w:themeColor="accent1" w:themeShade="BF"/>
          <w:sz w:val="20"/>
          <w:szCs w:val="20"/>
        </w:rPr>
        <w:t>via Calabria, 33 _ Cosenza</w:t>
      </w:r>
    </w:p>
    <w:p w:rsidR="00E73344" w:rsidRPr="00CA6AD6" w:rsidRDefault="00E73344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DD72CB" w:rsidRDefault="00DD72CB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4. Ai sensi della legge 24/12/2012 n. 234, e della legge 29 luglio 2015, n. 115 i dati verranno utilizzati per la</w:t>
      </w:r>
      <w:r w:rsidR="00E73344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comunicazione al Registro Nazionale per gli Aiuti di Stato del Ministero dello Sviluppo Economico delle informazioni</w:t>
      </w:r>
      <w:r w:rsidR="005B43D0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relative alla concessione ed erogazione degli incentivi alle imprese ai fini della verifica del rispetto del </w:t>
      </w:r>
      <w:r w:rsidRPr="00CA6AD6">
        <w:rPr>
          <w:rFonts w:ascii="Open Sans" w:hAnsi="Open Sans" w:cs="Open Sans"/>
          <w:i/>
          <w:iCs/>
          <w:color w:val="365F91" w:themeColor="accent1" w:themeShade="BF"/>
          <w:sz w:val="20"/>
          <w:szCs w:val="20"/>
        </w:rPr>
        <w:t xml:space="preserve">de </w:t>
      </w:r>
      <w:proofErr w:type="spellStart"/>
      <w:r w:rsidRPr="00CA6AD6">
        <w:rPr>
          <w:rFonts w:ascii="Open Sans" w:hAnsi="Open Sans" w:cs="Open Sans"/>
          <w:i/>
          <w:iCs/>
          <w:color w:val="365F91" w:themeColor="accent1" w:themeShade="BF"/>
          <w:sz w:val="20"/>
          <w:szCs w:val="20"/>
        </w:rPr>
        <w:t>minimis</w:t>
      </w:r>
      <w:proofErr w:type="spellEnd"/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.</w:t>
      </w:r>
    </w:p>
    <w:p w:rsidR="005B43D0" w:rsidRPr="00CA6AD6" w:rsidRDefault="005B43D0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DD72CB" w:rsidRPr="00ED34D3" w:rsidRDefault="00DD72CB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color w:val="365F91" w:themeColor="accent1" w:themeShade="BF"/>
          <w:sz w:val="20"/>
          <w:szCs w:val="20"/>
        </w:rPr>
        <w:t>5</w:t>
      </w:r>
      <w:r w:rsidRPr="00D6223E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. </w:t>
      </w:r>
      <w:r w:rsidRPr="00ED34D3">
        <w:rPr>
          <w:rFonts w:ascii="Open Sans" w:hAnsi="Open Sans" w:cs="Open Sans"/>
          <w:color w:val="365F91" w:themeColor="accent1" w:themeShade="BF"/>
          <w:sz w:val="20"/>
          <w:szCs w:val="20"/>
        </w:rPr>
        <w:t>La presente manifestazione di interesse verrà pubblicata all’Albo camerale on line e diffusa tramite sito web della</w:t>
      </w:r>
      <w:r w:rsidR="005B43D0" w:rsidRPr="00ED34D3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  <w:r w:rsidR="00ED34D3" w:rsidRPr="00ED34D3">
        <w:rPr>
          <w:rFonts w:ascii="Open Sans" w:hAnsi="Open Sans" w:cs="Open Sans"/>
          <w:color w:val="365F91" w:themeColor="accent1" w:themeShade="BF"/>
          <w:sz w:val="20"/>
          <w:szCs w:val="20"/>
        </w:rPr>
        <w:t>Camera di Commercio Cosenza</w:t>
      </w:r>
      <w:r w:rsidRPr="00ED34D3">
        <w:rPr>
          <w:rFonts w:ascii="Open Sans" w:hAnsi="Open Sans" w:cs="Open Sans"/>
          <w:color w:val="365F91" w:themeColor="accent1" w:themeShade="BF"/>
          <w:sz w:val="20"/>
          <w:szCs w:val="20"/>
        </w:rPr>
        <w:t>.</w:t>
      </w:r>
    </w:p>
    <w:p w:rsidR="005B43D0" w:rsidRPr="00ED34D3" w:rsidRDefault="005B43D0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5B43D0" w:rsidRDefault="005B43D0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251392" w:rsidRDefault="00251392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251392" w:rsidRDefault="00ED34D3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r>
        <w:rPr>
          <w:rFonts w:ascii="Open Sans" w:hAnsi="Open Sans" w:cs="Open Sans"/>
          <w:color w:val="365F91" w:themeColor="accent1" w:themeShade="BF"/>
          <w:sz w:val="20"/>
          <w:szCs w:val="20"/>
        </w:rPr>
        <w:t>Luogo e data</w:t>
      </w:r>
      <w:r w:rsidR="00251392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                                                                        </w:t>
      </w:r>
      <w:r w:rsidR="001362E4">
        <w:rPr>
          <w:rFonts w:ascii="Open Sans" w:hAnsi="Open Sans" w:cs="Open Sans"/>
          <w:color w:val="365F91" w:themeColor="accent1" w:themeShade="BF"/>
          <w:sz w:val="20"/>
          <w:szCs w:val="20"/>
        </w:rPr>
        <w:tab/>
        <w:t xml:space="preserve">Staff CCIAA </w:t>
      </w:r>
      <w:r w:rsidR="00251392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</w:t>
      </w:r>
    </w:p>
    <w:p w:rsidR="00DD72CB" w:rsidRPr="00CA6AD6" w:rsidRDefault="00251392" w:rsidP="00CA6AD6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proofErr w:type="gramStart"/>
      <w:r>
        <w:rPr>
          <w:rFonts w:ascii="Open Sans" w:hAnsi="Open Sans" w:cs="Open Sans"/>
          <w:color w:val="365F91" w:themeColor="accent1" w:themeShade="BF"/>
          <w:sz w:val="20"/>
          <w:szCs w:val="20"/>
        </w:rPr>
        <w:t>Cosenza,</w:t>
      </w:r>
      <w:r w:rsidR="00ED34D3">
        <w:rPr>
          <w:rFonts w:ascii="Open Sans" w:hAnsi="Open Sans" w:cs="Open Sans"/>
          <w:color w:val="365F91" w:themeColor="accent1" w:themeShade="BF"/>
          <w:sz w:val="20"/>
          <w:szCs w:val="20"/>
        </w:rPr>
        <w:t xml:space="preserve">  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>5</w:t>
      </w:r>
      <w:proofErr w:type="gramEnd"/>
      <w:r>
        <w:rPr>
          <w:rFonts w:ascii="Open Sans" w:hAnsi="Open Sans" w:cs="Open Sans"/>
          <w:color w:val="365F91" w:themeColor="accent1" w:themeShade="BF"/>
          <w:sz w:val="20"/>
          <w:szCs w:val="20"/>
        </w:rPr>
        <w:t>/11/2020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ab/>
        <w:t xml:space="preserve">                                                                </w:t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ab/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ab/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ab/>
      </w:r>
      <w:r>
        <w:rPr>
          <w:rFonts w:ascii="Open Sans" w:hAnsi="Open Sans" w:cs="Open Sans"/>
          <w:color w:val="365F91" w:themeColor="accent1" w:themeShade="BF"/>
          <w:sz w:val="20"/>
          <w:szCs w:val="20"/>
        </w:rPr>
        <w:tab/>
      </w:r>
      <w:r w:rsidR="00ED34D3">
        <w:rPr>
          <w:rFonts w:ascii="Open Sans" w:hAnsi="Open Sans" w:cs="Open Sans"/>
          <w:color w:val="365F91" w:themeColor="accent1" w:themeShade="BF"/>
          <w:sz w:val="20"/>
          <w:szCs w:val="20"/>
        </w:rPr>
        <w:tab/>
      </w:r>
    </w:p>
    <w:p w:rsidR="00DD72CB" w:rsidRDefault="00DD72CB" w:rsidP="00CA6AD6">
      <w:pPr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93510F" w:rsidRDefault="0093510F" w:rsidP="00CA6AD6">
      <w:pPr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</w:p>
    <w:p w:rsidR="0093510F" w:rsidRDefault="0093510F" w:rsidP="00CA6AD6">
      <w:pPr>
        <w:jc w:val="both"/>
        <w:rPr>
          <w:rFonts w:ascii="Open Sans" w:hAnsi="Open Sans" w:cs="Open Sans"/>
          <w:color w:val="365F91" w:themeColor="accent1" w:themeShade="BF"/>
          <w:sz w:val="20"/>
          <w:szCs w:val="20"/>
        </w:rPr>
      </w:pPr>
      <w:bookmarkStart w:id="0" w:name="_GoBack"/>
      <w:bookmarkEnd w:id="0"/>
    </w:p>
    <w:p w:rsidR="00DD72CB" w:rsidRPr="00CA6AD6" w:rsidRDefault="00DD72CB" w:rsidP="005B43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Open Sans" w:hAnsi="Open Sans" w:cs="Open Sans"/>
          <w:b/>
          <w:bCs/>
          <w:color w:val="365F91" w:themeColor="accent1" w:themeShade="BF"/>
          <w:sz w:val="20"/>
          <w:szCs w:val="20"/>
        </w:rPr>
      </w:pPr>
      <w:r w:rsidRPr="00CA6AD6">
        <w:rPr>
          <w:rFonts w:ascii="Open Sans" w:hAnsi="Open Sans" w:cs="Open Sans"/>
          <w:b/>
          <w:bCs/>
          <w:color w:val="365F91" w:themeColor="accent1" w:themeShade="BF"/>
          <w:sz w:val="20"/>
          <w:szCs w:val="20"/>
        </w:rPr>
        <w:t>APPENDICE</w:t>
      </w:r>
    </w:p>
    <w:p w:rsidR="00DD72CB" w:rsidRPr="00CA6AD6" w:rsidRDefault="00DD72CB" w:rsidP="005B43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center"/>
        <w:rPr>
          <w:rFonts w:ascii="Open Sans" w:hAnsi="Open Sans" w:cs="Open Sans"/>
          <w:b/>
          <w:bCs/>
          <w:color w:val="365F91" w:themeColor="accent1" w:themeShade="BF"/>
          <w:sz w:val="18"/>
          <w:szCs w:val="18"/>
        </w:rPr>
      </w:pPr>
      <w:r w:rsidRPr="00CA6AD6">
        <w:rPr>
          <w:rFonts w:ascii="Open Sans" w:hAnsi="Open Sans" w:cs="Open Sans"/>
          <w:b/>
          <w:bCs/>
          <w:color w:val="365F91" w:themeColor="accent1" w:themeShade="BF"/>
          <w:sz w:val="18"/>
          <w:szCs w:val="18"/>
        </w:rPr>
        <w:t>REGIME “DE MINIMIS”</w:t>
      </w:r>
    </w:p>
    <w:p w:rsidR="00DD72CB" w:rsidRPr="00CA6AD6" w:rsidRDefault="00DD72CB" w:rsidP="005B43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16"/>
          <w:szCs w:val="16"/>
        </w:rPr>
      </w:pPr>
      <w:r w:rsidRPr="00CA6AD6">
        <w:rPr>
          <w:rFonts w:ascii="Open Sans" w:hAnsi="Open Sans" w:cs="Open Sans"/>
          <w:color w:val="365F91" w:themeColor="accent1" w:themeShade="BF"/>
          <w:sz w:val="16"/>
          <w:szCs w:val="16"/>
        </w:rPr>
        <w:t xml:space="preserve">Tale regime prevede che l’importo complessivo degli aiuti “de </w:t>
      </w:r>
      <w:proofErr w:type="spellStart"/>
      <w:r w:rsidRPr="00CA6AD6">
        <w:rPr>
          <w:rFonts w:ascii="Open Sans" w:hAnsi="Open Sans" w:cs="Open Sans"/>
          <w:color w:val="365F91" w:themeColor="accent1" w:themeShade="BF"/>
          <w:sz w:val="16"/>
          <w:szCs w:val="16"/>
        </w:rPr>
        <w:t>minimis</w:t>
      </w:r>
      <w:proofErr w:type="spellEnd"/>
      <w:r w:rsidRPr="00CA6AD6">
        <w:rPr>
          <w:rFonts w:ascii="Open Sans" w:hAnsi="Open Sans" w:cs="Open Sans"/>
          <w:color w:val="365F91" w:themeColor="accent1" w:themeShade="BF"/>
          <w:sz w:val="16"/>
          <w:szCs w:val="16"/>
        </w:rPr>
        <w:t>” concessi ad una “impresa unica” non possa superare i massimali pertinenti</w:t>
      </w:r>
      <w:r w:rsidR="005B43D0">
        <w:rPr>
          <w:rFonts w:ascii="Open Sans" w:hAnsi="Open Sans" w:cs="Open Sans"/>
          <w:color w:val="365F91" w:themeColor="accent1" w:themeShade="BF"/>
          <w:sz w:val="16"/>
          <w:szCs w:val="16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16"/>
          <w:szCs w:val="16"/>
        </w:rPr>
        <w:t xml:space="preserve">nell’arco di tre esercizi finanziari. Pertanto il legale rappresentante di ogni impresa candidata a ricevere un aiuto in regime “de </w:t>
      </w:r>
      <w:proofErr w:type="spellStart"/>
      <w:r w:rsidRPr="00CA6AD6">
        <w:rPr>
          <w:rFonts w:ascii="Open Sans" w:hAnsi="Open Sans" w:cs="Open Sans"/>
          <w:color w:val="365F91" w:themeColor="accent1" w:themeShade="BF"/>
          <w:sz w:val="16"/>
          <w:szCs w:val="16"/>
        </w:rPr>
        <w:t>minimis</w:t>
      </w:r>
      <w:proofErr w:type="spellEnd"/>
      <w:r w:rsidRPr="00CA6AD6">
        <w:rPr>
          <w:rFonts w:ascii="Open Sans" w:hAnsi="Open Sans" w:cs="Open Sans"/>
          <w:color w:val="365F91" w:themeColor="accent1" w:themeShade="BF"/>
          <w:sz w:val="16"/>
          <w:szCs w:val="16"/>
        </w:rPr>
        <w:t>” è tenuto a</w:t>
      </w:r>
      <w:r w:rsidR="005B43D0">
        <w:rPr>
          <w:rFonts w:ascii="Open Sans" w:hAnsi="Open Sans" w:cs="Open Sans"/>
          <w:color w:val="365F91" w:themeColor="accent1" w:themeShade="BF"/>
          <w:sz w:val="16"/>
          <w:szCs w:val="16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16"/>
          <w:szCs w:val="16"/>
        </w:rPr>
        <w:t xml:space="preserve">sottoscrivere una dichiarazione - rilasciata ai sensi dell’art. 47 del DPR 445/2000 – che attesti gli aiuti ottenuti in “de </w:t>
      </w:r>
      <w:proofErr w:type="spellStart"/>
      <w:r w:rsidRPr="00CA6AD6">
        <w:rPr>
          <w:rFonts w:ascii="Open Sans" w:hAnsi="Open Sans" w:cs="Open Sans"/>
          <w:color w:val="365F91" w:themeColor="accent1" w:themeShade="BF"/>
          <w:sz w:val="16"/>
          <w:szCs w:val="16"/>
        </w:rPr>
        <w:t>minimis</w:t>
      </w:r>
      <w:proofErr w:type="spellEnd"/>
      <w:r w:rsidRPr="00CA6AD6">
        <w:rPr>
          <w:rFonts w:ascii="Open Sans" w:hAnsi="Open Sans" w:cs="Open Sans"/>
          <w:color w:val="365F91" w:themeColor="accent1" w:themeShade="BF"/>
          <w:sz w:val="16"/>
          <w:szCs w:val="16"/>
        </w:rPr>
        <w:t>” nell’esercizio</w:t>
      </w:r>
      <w:r w:rsidR="005B43D0">
        <w:rPr>
          <w:rFonts w:ascii="Open Sans" w:hAnsi="Open Sans" w:cs="Open Sans"/>
          <w:color w:val="365F91" w:themeColor="accent1" w:themeShade="BF"/>
          <w:sz w:val="16"/>
          <w:szCs w:val="16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16"/>
          <w:szCs w:val="16"/>
        </w:rPr>
        <w:t>finanziario in corso e nei due precedenti. Il nuovo aiuto potrà essere concesso solo se, sommato a quelli già ottenuti nei tre esercizi finanziari</w:t>
      </w:r>
      <w:r w:rsidR="005B43D0">
        <w:rPr>
          <w:rFonts w:ascii="Open Sans" w:hAnsi="Open Sans" w:cs="Open Sans"/>
          <w:color w:val="365F91" w:themeColor="accent1" w:themeShade="BF"/>
          <w:sz w:val="16"/>
          <w:szCs w:val="16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16"/>
          <w:szCs w:val="16"/>
        </w:rPr>
        <w:t>suddetti, non superi i massimali stabiliti da ogni Regolamento di riferimento.</w:t>
      </w:r>
    </w:p>
    <w:p w:rsidR="00DD72CB" w:rsidRPr="00CA6AD6" w:rsidRDefault="00DD72CB" w:rsidP="005B43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  <w:sz w:val="16"/>
          <w:szCs w:val="16"/>
        </w:rPr>
      </w:pPr>
      <w:r w:rsidRPr="00CA6AD6">
        <w:rPr>
          <w:rFonts w:ascii="Open Sans" w:hAnsi="Open Sans" w:cs="Open Sans"/>
          <w:color w:val="365F91" w:themeColor="accent1" w:themeShade="BF"/>
          <w:sz w:val="16"/>
          <w:szCs w:val="16"/>
        </w:rPr>
        <w:t>- Poiché il momento rilevante per la verifica dell’ammissibilità è quello in cui avviene la concessione/assegnazione (il momento in cui sorge il diritto</w:t>
      </w:r>
      <w:r w:rsidR="005B43D0">
        <w:rPr>
          <w:rFonts w:ascii="Open Sans" w:hAnsi="Open Sans" w:cs="Open Sans"/>
          <w:color w:val="365F91" w:themeColor="accent1" w:themeShade="BF"/>
          <w:sz w:val="16"/>
          <w:szCs w:val="16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16"/>
          <w:szCs w:val="16"/>
        </w:rPr>
        <w:t>all’agevolazione), la dichiarazione dovrà essere confermata – o aggiornata – su richiesta dell’amministrazione, con riferimento appunto alla data</w:t>
      </w:r>
      <w:r w:rsidR="005B43D0">
        <w:rPr>
          <w:rFonts w:ascii="Open Sans" w:hAnsi="Open Sans" w:cs="Open Sans"/>
          <w:color w:val="365F91" w:themeColor="accent1" w:themeShade="BF"/>
          <w:sz w:val="16"/>
          <w:szCs w:val="16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16"/>
          <w:szCs w:val="16"/>
        </w:rPr>
        <w:t>di concessione/assegnazione.</w:t>
      </w:r>
    </w:p>
    <w:p w:rsidR="00DD72CB" w:rsidRPr="00CA6AD6" w:rsidRDefault="00DD72CB" w:rsidP="005B43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</w:rPr>
      </w:pPr>
      <w:r w:rsidRPr="00CA6AD6">
        <w:rPr>
          <w:rFonts w:ascii="Open Sans" w:hAnsi="Open Sans" w:cs="Open Sans"/>
          <w:color w:val="365F91" w:themeColor="accent1" w:themeShade="BF"/>
          <w:sz w:val="16"/>
          <w:szCs w:val="16"/>
        </w:rPr>
        <w:t>- Si ricorda che, qualora fosse superato il massimale previsto, l’impresa perderà il diritto non all’importo in eccedenza ma all’intero aiuto in</w:t>
      </w:r>
      <w:r w:rsidR="005B43D0">
        <w:rPr>
          <w:rFonts w:ascii="Open Sans" w:hAnsi="Open Sans" w:cs="Open Sans"/>
          <w:color w:val="365F91" w:themeColor="accent1" w:themeShade="BF"/>
          <w:sz w:val="16"/>
          <w:szCs w:val="16"/>
        </w:rPr>
        <w:t xml:space="preserve"> </w:t>
      </w:r>
      <w:r w:rsidRPr="00CA6AD6">
        <w:rPr>
          <w:rFonts w:ascii="Open Sans" w:hAnsi="Open Sans" w:cs="Open Sans"/>
          <w:color w:val="365F91" w:themeColor="accent1" w:themeShade="BF"/>
          <w:sz w:val="16"/>
          <w:szCs w:val="16"/>
        </w:rPr>
        <w:t>conseguenza del quale tale massimale è stato superato.</w:t>
      </w:r>
    </w:p>
    <w:p w:rsidR="005B43D0" w:rsidRPr="00CA6AD6" w:rsidRDefault="005B43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65F91" w:themeColor="accent1" w:themeShade="BF"/>
        </w:rPr>
      </w:pPr>
    </w:p>
    <w:sectPr w:rsidR="005B43D0" w:rsidRPr="00CA6A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BED" w:rsidRDefault="005A1BED" w:rsidP="00DD72CB">
      <w:pPr>
        <w:spacing w:after="0" w:line="240" w:lineRule="auto"/>
      </w:pPr>
      <w:r>
        <w:separator/>
      </w:r>
    </w:p>
  </w:endnote>
  <w:endnote w:type="continuationSeparator" w:id="0">
    <w:p w:rsidR="005A1BED" w:rsidRDefault="005A1BED" w:rsidP="00DD7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Verdana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BED" w:rsidRDefault="005A1BED" w:rsidP="00DD72CB">
      <w:pPr>
        <w:spacing w:after="0" w:line="240" w:lineRule="auto"/>
      </w:pPr>
      <w:r>
        <w:separator/>
      </w:r>
    </w:p>
  </w:footnote>
  <w:footnote w:type="continuationSeparator" w:id="0">
    <w:p w:rsidR="005A1BED" w:rsidRDefault="005A1BED" w:rsidP="00DD72CB">
      <w:pPr>
        <w:spacing w:after="0" w:line="240" w:lineRule="auto"/>
      </w:pPr>
      <w:r>
        <w:continuationSeparator/>
      </w:r>
    </w:p>
  </w:footnote>
  <w:footnote w:id="1">
    <w:p w:rsidR="002F3E4D" w:rsidRPr="00323D95" w:rsidRDefault="00914F83" w:rsidP="00323D95">
      <w:pPr>
        <w:pStyle w:val="Testonotaapidipagina"/>
        <w:jc w:val="both"/>
        <w:rPr>
          <w:rFonts w:ascii="Open Sans" w:hAnsi="Open Sans" w:cs="Open Sans"/>
          <w:color w:val="365F91" w:themeColor="accent1" w:themeShade="BF"/>
          <w:sz w:val="16"/>
        </w:rPr>
      </w:pPr>
      <w:r w:rsidRPr="00323D95">
        <w:rPr>
          <w:rStyle w:val="Rimandonotaapidipagina"/>
          <w:rFonts w:ascii="Open Sans" w:hAnsi="Open Sans" w:cs="Open Sans"/>
          <w:color w:val="365F91" w:themeColor="accent1" w:themeShade="BF"/>
          <w:sz w:val="16"/>
        </w:rPr>
        <w:footnoteRef/>
      </w:r>
      <w:r w:rsidRPr="00323D95">
        <w:rPr>
          <w:rFonts w:ascii="Open Sans" w:hAnsi="Open Sans" w:cs="Open Sans"/>
          <w:color w:val="365F91" w:themeColor="accent1" w:themeShade="BF"/>
          <w:sz w:val="16"/>
        </w:rPr>
        <w:t xml:space="preserve"> Tale servizio sarà reso disponibile, per le imprese selezionate a seguito dell’iscrizione al </w:t>
      </w:r>
      <w:proofErr w:type="spellStart"/>
      <w:r w:rsidRPr="00323D95">
        <w:rPr>
          <w:rFonts w:ascii="Open Sans" w:hAnsi="Open Sans" w:cs="Open Sans"/>
          <w:color w:val="365F91" w:themeColor="accent1" w:themeShade="BF"/>
          <w:sz w:val="16"/>
        </w:rPr>
        <w:t>webinar</w:t>
      </w:r>
      <w:proofErr w:type="spellEnd"/>
      <w:r w:rsidRPr="00323D95">
        <w:rPr>
          <w:rFonts w:ascii="Open Sans" w:hAnsi="Open Sans" w:cs="Open Sans"/>
          <w:color w:val="365F91" w:themeColor="accent1" w:themeShade="BF"/>
          <w:sz w:val="16"/>
        </w:rPr>
        <w:t xml:space="preserve">, dalle Camere di Commercio Italiane all’Estero operanti in </w:t>
      </w:r>
      <w:r w:rsidR="00C105E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Australia</w:t>
      </w:r>
      <w:r w:rsidR="00C105EA" w:rsidRPr="00323D95">
        <w:rPr>
          <w:rFonts w:ascii="Open Sans" w:hAnsi="Open Sans" w:cs="Open Sans"/>
          <w:color w:val="365F91" w:themeColor="accent1" w:themeShade="BF"/>
          <w:sz w:val="16"/>
        </w:rPr>
        <w:t xml:space="preserve"> (Sydney, Melbourne, Brisbane, Perth), </w:t>
      </w:r>
      <w:r w:rsidR="00C674A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Belgio</w:t>
      </w:r>
      <w:r w:rsidR="00C674AA" w:rsidRPr="00323D95">
        <w:rPr>
          <w:rFonts w:ascii="Open Sans" w:hAnsi="Open Sans" w:cs="Open Sans"/>
          <w:color w:val="365F91" w:themeColor="accent1" w:themeShade="BF"/>
          <w:sz w:val="16"/>
        </w:rPr>
        <w:t xml:space="preserve"> (Bruxelles), </w:t>
      </w:r>
      <w:r w:rsidR="00C105E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Brasile</w:t>
      </w:r>
      <w:r w:rsidR="00C105EA" w:rsidRPr="00323D95">
        <w:rPr>
          <w:rFonts w:ascii="Open Sans" w:hAnsi="Open Sans" w:cs="Open Sans"/>
          <w:color w:val="365F91" w:themeColor="accent1" w:themeShade="BF"/>
          <w:sz w:val="16"/>
        </w:rPr>
        <w:t xml:space="preserve"> (Rio de Janeiro, San Paolo, Belo Horizonte, </w:t>
      </w:r>
      <w:proofErr w:type="spellStart"/>
      <w:r w:rsidR="00C105EA" w:rsidRPr="00323D95">
        <w:rPr>
          <w:rFonts w:ascii="Open Sans" w:hAnsi="Open Sans" w:cs="Open Sans"/>
          <w:color w:val="365F91" w:themeColor="accent1" w:themeShade="BF"/>
          <w:sz w:val="16"/>
        </w:rPr>
        <w:t>Florianopolis</w:t>
      </w:r>
      <w:proofErr w:type="spellEnd"/>
      <w:r w:rsidR="00C105EA" w:rsidRPr="00323D95">
        <w:rPr>
          <w:rFonts w:ascii="Open Sans" w:hAnsi="Open Sans" w:cs="Open Sans"/>
          <w:color w:val="365F91" w:themeColor="accent1" w:themeShade="BF"/>
          <w:sz w:val="16"/>
        </w:rPr>
        <w:t xml:space="preserve">), </w:t>
      </w:r>
      <w:r w:rsidR="00C105E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Canada</w:t>
      </w:r>
      <w:r w:rsidR="00C105EA" w:rsidRPr="00323D95">
        <w:rPr>
          <w:rFonts w:ascii="Open Sans" w:hAnsi="Open Sans" w:cs="Open Sans"/>
          <w:color w:val="365F91" w:themeColor="accent1" w:themeShade="BF"/>
          <w:sz w:val="16"/>
        </w:rPr>
        <w:t xml:space="preserve"> (Montreal, Toronto, Vancouver), </w:t>
      </w:r>
      <w:r w:rsidR="00C674A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Cina</w:t>
      </w:r>
      <w:r w:rsidR="00C674AA" w:rsidRPr="00323D95">
        <w:rPr>
          <w:rFonts w:ascii="Open Sans" w:hAnsi="Open Sans" w:cs="Open Sans"/>
          <w:color w:val="365F91" w:themeColor="accent1" w:themeShade="BF"/>
          <w:sz w:val="16"/>
        </w:rPr>
        <w:t xml:space="preserve"> (Pechino, Hong Kong), </w:t>
      </w:r>
      <w:r w:rsidR="00C105E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Corea</w:t>
      </w:r>
      <w:r w:rsidR="00C105EA" w:rsidRPr="00323D95">
        <w:rPr>
          <w:rFonts w:ascii="Open Sans" w:hAnsi="Open Sans" w:cs="Open Sans"/>
          <w:color w:val="365F91" w:themeColor="accent1" w:themeShade="BF"/>
          <w:sz w:val="16"/>
        </w:rPr>
        <w:t xml:space="preserve"> (Seoul), </w:t>
      </w:r>
      <w:r w:rsidR="00C105E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Danimarca</w:t>
      </w:r>
      <w:r w:rsidR="00C105EA" w:rsidRPr="00323D95">
        <w:rPr>
          <w:rFonts w:ascii="Open Sans" w:hAnsi="Open Sans" w:cs="Open Sans"/>
          <w:color w:val="365F91" w:themeColor="accent1" w:themeShade="BF"/>
          <w:sz w:val="16"/>
        </w:rPr>
        <w:t xml:space="preserve"> (Copenaghen), </w:t>
      </w:r>
      <w:r w:rsidR="00C674A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Francia</w:t>
      </w:r>
      <w:r w:rsidR="00C674AA" w:rsidRPr="00323D95">
        <w:rPr>
          <w:rFonts w:ascii="Open Sans" w:hAnsi="Open Sans" w:cs="Open Sans"/>
          <w:color w:val="365F91" w:themeColor="accent1" w:themeShade="BF"/>
          <w:sz w:val="16"/>
        </w:rPr>
        <w:t xml:space="preserve"> (Marsiglia, Nizza, Lione), </w:t>
      </w:r>
      <w:r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Germania</w:t>
      </w:r>
      <w:r w:rsidRPr="00323D95">
        <w:rPr>
          <w:rFonts w:ascii="Open Sans" w:hAnsi="Open Sans" w:cs="Open Sans"/>
          <w:color w:val="365F91" w:themeColor="accent1" w:themeShade="BF"/>
          <w:sz w:val="16"/>
        </w:rPr>
        <w:t xml:space="preserve"> (Francoforte e Monaco), </w:t>
      </w:r>
      <w:r w:rsidR="00C674A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Giappone</w:t>
      </w:r>
      <w:r w:rsidR="00C674AA" w:rsidRPr="00323D95">
        <w:rPr>
          <w:rFonts w:ascii="Open Sans" w:hAnsi="Open Sans" w:cs="Open Sans"/>
          <w:color w:val="365F91" w:themeColor="accent1" w:themeShade="BF"/>
          <w:sz w:val="16"/>
        </w:rPr>
        <w:t xml:space="preserve"> (Tokyo), </w:t>
      </w:r>
      <w:r w:rsidR="00C105E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Grecia</w:t>
      </w:r>
      <w:r w:rsidR="00C105EA" w:rsidRPr="00323D95">
        <w:rPr>
          <w:rFonts w:ascii="Open Sans" w:hAnsi="Open Sans" w:cs="Open Sans"/>
          <w:color w:val="365F91" w:themeColor="accent1" w:themeShade="BF"/>
          <w:sz w:val="16"/>
        </w:rPr>
        <w:t xml:space="preserve"> (Salonicco, Atene), </w:t>
      </w:r>
      <w:r w:rsidR="00C105E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India</w:t>
      </w:r>
      <w:r w:rsidR="00C105EA" w:rsidRPr="00323D95">
        <w:rPr>
          <w:rFonts w:ascii="Open Sans" w:hAnsi="Open Sans" w:cs="Open Sans"/>
          <w:color w:val="365F91" w:themeColor="accent1" w:themeShade="BF"/>
          <w:sz w:val="16"/>
        </w:rPr>
        <w:t xml:space="preserve"> (Mumbai), </w:t>
      </w:r>
      <w:r w:rsidR="00C105E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Israele</w:t>
      </w:r>
      <w:r w:rsidR="00C105EA" w:rsidRPr="00323D95">
        <w:rPr>
          <w:rFonts w:ascii="Open Sans" w:hAnsi="Open Sans" w:cs="Open Sans"/>
          <w:color w:val="365F91" w:themeColor="accent1" w:themeShade="BF"/>
          <w:sz w:val="16"/>
        </w:rPr>
        <w:t xml:space="preserve"> (</w:t>
      </w:r>
      <w:proofErr w:type="spellStart"/>
      <w:r w:rsidR="00C105EA" w:rsidRPr="00323D95">
        <w:rPr>
          <w:rFonts w:ascii="Open Sans" w:hAnsi="Open Sans" w:cs="Open Sans"/>
          <w:color w:val="365F91" w:themeColor="accent1" w:themeShade="BF"/>
          <w:sz w:val="16"/>
        </w:rPr>
        <w:t>Tel</w:t>
      </w:r>
      <w:proofErr w:type="spellEnd"/>
      <w:r w:rsidR="00C105EA" w:rsidRPr="00323D95">
        <w:rPr>
          <w:rFonts w:ascii="Open Sans" w:hAnsi="Open Sans" w:cs="Open Sans"/>
          <w:color w:val="365F91" w:themeColor="accent1" w:themeShade="BF"/>
          <w:sz w:val="16"/>
        </w:rPr>
        <w:t xml:space="preserve"> Aviv), </w:t>
      </w:r>
      <w:r w:rsidR="00C674A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Lussemburgo</w:t>
      </w:r>
      <w:r w:rsidR="00C674AA" w:rsidRPr="00323D95">
        <w:rPr>
          <w:rFonts w:ascii="Open Sans" w:hAnsi="Open Sans" w:cs="Open Sans"/>
          <w:color w:val="365F91" w:themeColor="accent1" w:themeShade="BF"/>
          <w:sz w:val="16"/>
        </w:rPr>
        <w:t xml:space="preserve"> (Lussemburgo), </w:t>
      </w:r>
      <w:r w:rsidR="00C105E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Messico</w:t>
      </w:r>
      <w:r w:rsidR="00C105EA" w:rsidRPr="00323D95">
        <w:rPr>
          <w:rFonts w:ascii="Open Sans" w:hAnsi="Open Sans" w:cs="Open Sans"/>
          <w:color w:val="365F91" w:themeColor="accent1" w:themeShade="BF"/>
          <w:sz w:val="16"/>
        </w:rPr>
        <w:t xml:space="preserve"> (Città del Messico), </w:t>
      </w:r>
      <w:r w:rsidR="00C674A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Olanda</w:t>
      </w:r>
      <w:r w:rsidR="00C674AA" w:rsidRPr="00323D95">
        <w:rPr>
          <w:rFonts w:ascii="Open Sans" w:hAnsi="Open Sans" w:cs="Open Sans"/>
          <w:color w:val="365F91" w:themeColor="accent1" w:themeShade="BF"/>
          <w:sz w:val="16"/>
        </w:rPr>
        <w:t xml:space="preserve"> (Amsterdam), </w:t>
      </w:r>
      <w:r w:rsidR="00C674A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Polonia</w:t>
      </w:r>
      <w:r w:rsidR="00C674AA" w:rsidRPr="00323D95">
        <w:rPr>
          <w:rFonts w:ascii="Open Sans" w:hAnsi="Open Sans" w:cs="Open Sans"/>
          <w:color w:val="365F91" w:themeColor="accent1" w:themeShade="BF"/>
          <w:sz w:val="16"/>
        </w:rPr>
        <w:t xml:space="preserve"> (Varsavia), </w:t>
      </w:r>
      <w:r w:rsidR="00C105E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Portogallo</w:t>
      </w:r>
      <w:r w:rsidR="00C105EA" w:rsidRPr="00323D95">
        <w:rPr>
          <w:rFonts w:ascii="Open Sans" w:hAnsi="Open Sans" w:cs="Open Sans"/>
          <w:color w:val="365F91" w:themeColor="accent1" w:themeShade="BF"/>
          <w:sz w:val="16"/>
        </w:rPr>
        <w:t xml:space="preserve"> (Lisbona), </w:t>
      </w:r>
      <w:r w:rsidR="00C674A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Regno Unito</w:t>
      </w:r>
      <w:r w:rsidR="00C674AA" w:rsidRPr="00323D95">
        <w:rPr>
          <w:rFonts w:ascii="Open Sans" w:hAnsi="Open Sans" w:cs="Open Sans"/>
          <w:color w:val="365F91" w:themeColor="accent1" w:themeShade="BF"/>
          <w:sz w:val="16"/>
        </w:rPr>
        <w:t xml:space="preserve"> (Londra), </w:t>
      </w:r>
      <w:r w:rsidR="00C674A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Repubblica Ceca</w:t>
      </w:r>
      <w:r w:rsidR="00C674AA" w:rsidRPr="00323D95">
        <w:rPr>
          <w:rFonts w:ascii="Open Sans" w:hAnsi="Open Sans" w:cs="Open Sans"/>
          <w:color w:val="365F91" w:themeColor="accent1" w:themeShade="BF"/>
          <w:sz w:val="16"/>
        </w:rPr>
        <w:t xml:space="preserve"> (Praga), </w:t>
      </w:r>
      <w:r w:rsidR="00C674A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Romania</w:t>
      </w:r>
      <w:r w:rsidR="00C674AA" w:rsidRPr="00323D95">
        <w:rPr>
          <w:rFonts w:ascii="Open Sans" w:hAnsi="Open Sans" w:cs="Open Sans"/>
          <w:color w:val="365F91" w:themeColor="accent1" w:themeShade="BF"/>
          <w:sz w:val="16"/>
        </w:rPr>
        <w:t xml:space="preserve"> (Bucarest), </w:t>
      </w:r>
      <w:r w:rsidR="00C674A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Russia</w:t>
      </w:r>
      <w:r w:rsidR="00C674AA" w:rsidRPr="00323D95">
        <w:rPr>
          <w:rFonts w:ascii="Open Sans" w:hAnsi="Open Sans" w:cs="Open Sans"/>
          <w:color w:val="365F91" w:themeColor="accent1" w:themeShade="BF"/>
          <w:sz w:val="16"/>
        </w:rPr>
        <w:t xml:space="preserve"> (Mosca), </w:t>
      </w:r>
      <w:r w:rsidR="00C105E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Slovacchia</w:t>
      </w:r>
      <w:r w:rsidR="00C105EA" w:rsidRPr="00323D95">
        <w:rPr>
          <w:rFonts w:ascii="Open Sans" w:hAnsi="Open Sans" w:cs="Open Sans"/>
          <w:color w:val="365F91" w:themeColor="accent1" w:themeShade="BF"/>
          <w:sz w:val="16"/>
        </w:rPr>
        <w:t xml:space="preserve"> (Bratislava), </w:t>
      </w:r>
      <w:r w:rsidR="00C674A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Spagna</w:t>
      </w:r>
      <w:r w:rsidR="00C674AA" w:rsidRPr="00323D95">
        <w:rPr>
          <w:rFonts w:ascii="Open Sans" w:hAnsi="Open Sans" w:cs="Open Sans"/>
          <w:color w:val="365F91" w:themeColor="accent1" w:themeShade="BF"/>
          <w:sz w:val="16"/>
        </w:rPr>
        <w:t xml:space="preserve"> (Madrid, Barcellona), </w:t>
      </w:r>
      <w:r w:rsidR="00C674A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Stati Uniti</w:t>
      </w:r>
      <w:r w:rsidR="00C674AA" w:rsidRPr="00323D95">
        <w:rPr>
          <w:rFonts w:ascii="Open Sans" w:hAnsi="Open Sans" w:cs="Open Sans"/>
          <w:color w:val="365F91" w:themeColor="accent1" w:themeShade="BF"/>
          <w:sz w:val="16"/>
        </w:rPr>
        <w:t xml:space="preserve"> (Chicago, New York, Houston, Los Angeles, Miami), </w:t>
      </w:r>
      <w:r w:rsidR="00C105E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Svezia</w:t>
      </w:r>
      <w:r w:rsidR="00C105EA" w:rsidRPr="00323D95">
        <w:rPr>
          <w:rFonts w:ascii="Open Sans" w:hAnsi="Open Sans" w:cs="Open Sans"/>
          <w:color w:val="365F91" w:themeColor="accent1" w:themeShade="BF"/>
          <w:sz w:val="16"/>
        </w:rPr>
        <w:t xml:space="preserve"> (Stoccolma), </w:t>
      </w:r>
      <w:r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Svizzera</w:t>
      </w:r>
      <w:r w:rsidRPr="00323D95">
        <w:rPr>
          <w:rFonts w:ascii="Open Sans" w:hAnsi="Open Sans" w:cs="Open Sans"/>
          <w:color w:val="365F91" w:themeColor="accent1" w:themeShade="BF"/>
          <w:sz w:val="16"/>
        </w:rPr>
        <w:t xml:space="preserve"> (Zurigo), </w:t>
      </w:r>
      <w:r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Turchia</w:t>
      </w:r>
      <w:r w:rsidRPr="00323D95">
        <w:rPr>
          <w:rFonts w:ascii="Open Sans" w:hAnsi="Open Sans" w:cs="Open Sans"/>
          <w:color w:val="365F91" w:themeColor="accent1" w:themeShade="BF"/>
          <w:sz w:val="16"/>
        </w:rPr>
        <w:t xml:space="preserve"> (Istanbul, Izmir</w:t>
      </w:r>
      <w:r w:rsidR="00C105EA" w:rsidRPr="00323D95">
        <w:rPr>
          <w:rFonts w:ascii="Open Sans" w:hAnsi="Open Sans" w:cs="Open Sans"/>
          <w:color w:val="365F91" w:themeColor="accent1" w:themeShade="BF"/>
          <w:sz w:val="16"/>
        </w:rPr>
        <w:t>),</w:t>
      </w:r>
      <w:r w:rsidR="00C105EA"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 xml:space="preserve"> Ungheria</w:t>
      </w:r>
      <w:r w:rsidR="00C105EA" w:rsidRPr="00323D95">
        <w:rPr>
          <w:rFonts w:ascii="Open Sans" w:hAnsi="Open Sans" w:cs="Open Sans"/>
          <w:color w:val="365F91" w:themeColor="accent1" w:themeShade="BF"/>
          <w:sz w:val="16"/>
        </w:rPr>
        <w:t xml:space="preserve"> (Budapest).</w:t>
      </w:r>
    </w:p>
  </w:footnote>
  <w:footnote w:id="2">
    <w:p w:rsidR="0002384C" w:rsidRPr="00323D95" w:rsidRDefault="0002384C" w:rsidP="0002384C">
      <w:pPr>
        <w:pStyle w:val="Testonotaapidipagina"/>
        <w:spacing w:before="120"/>
        <w:jc w:val="both"/>
        <w:rPr>
          <w:rFonts w:ascii="Open Sans" w:hAnsi="Open Sans" w:cs="Open Sans"/>
          <w:sz w:val="16"/>
        </w:rPr>
      </w:pPr>
      <w:r w:rsidRPr="00323D95">
        <w:rPr>
          <w:rStyle w:val="Rimandonotaapidipagina"/>
          <w:rFonts w:ascii="Open Sans" w:hAnsi="Open Sans" w:cs="Open Sans"/>
          <w:sz w:val="16"/>
        </w:rPr>
        <w:footnoteRef/>
      </w:r>
      <w:r w:rsidRPr="00323D95">
        <w:rPr>
          <w:rFonts w:ascii="Open Sans" w:hAnsi="Open Sans" w:cs="Open Sans"/>
          <w:sz w:val="16"/>
        </w:rPr>
        <w:t xml:space="preserve"> </w:t>
      </w:r>
      <w:r w:rsidRPr="0002384C">
        <w:rPr>
          <w:rFonts w:ascii="Open Sans" w:hAnsi="Open Sans" w:cs="Open Sans"/>
          <w:color w:val="365F91" w:themeColor="accent1" w:themeShade="BF"/>
          <w:sz w:val="16"/>
        </w:rPr>
        <w:t>Il servizio di</w:t>
      </w:r>
      <w:r>
        <w:rPr>
          <w:rFonts w:ascii="Open Sans" w:hAnsi="Open Sans" w:cs="Open Sans"/>
          <w:sz w:val="16"/>
        </w:rPr>
        <w:t xml:space="preserve"> </w:t>
      </w:r>
      <w:r w:rsidRPr="0002384C">
        <w:rPr>
          <w:rFonts w:ascii="Open Sans" w:hAnsi="Open Sans" w:cs="Open Sans"/>
          <w:color w:val="365F91" w:themeColor="accent1" w:themeShade="BF"/>
          <w:sz w:val="16"/>
        </w:rPr>
        <w:t xml:space="preserve">assistenza specialistica a carattere individuale </w:t>
      </w:r>
      <w:r w:rsidRPr="00323D95">
        <w:rPr>
          <w:rFonts w:ascii="Open Sans" w:hAnsi="Open Sans" w:cs="Open Sans"/>
          <w:color w:val="365F91" w:themeColor="accent1" w:themeShade="BF"/>
          <w:sz w:val="16"/>
        </w:rPr>
        <w:t xml:space="preserve">sarà reso disponibile, per le imprese </w:t>
      </w:r>
      <w:r>
        <w:rPr>
          <w:rFonts w:ascii="Open Sans" w:hAnsi="Open Sans" w:cs="Open Sans"/>
          <w:color w:val="365F91" w:themeColor="accent1" w:themeShade="BF"/>
          <w:sz w:val="16"/>
        </w:rPr>
        <w:t>che hanno già completato la fase di web-</w:t>
      </w:r>
      <w:proofErr w:type="spellStart"/>
      <w:r>
        <w:rPr>
          <w:rFonts w:ascii="Open Sans" w:hAnsi="Open Sans" w:cs="Open Sans"/>
          <w:color w:val="365F91" w:themeColor="accent1" w:themeShade="BF"/>
          <w:sz w:val="16"/>
        </w:rPr>
        <w:t>mentoring</w:t>
      </w:r>
      <w:proofErr w:type="spellEnd"/>
      <w:r w:rsidRPr="00323D95">
        <w:rPr>
          <w:rFonts w:ascii="Open Sans" w:hAnsi="Open Sans" w:cs="Open Sans"/>
          <w:color w:val="365F91" w:themeColor="accent1" w:themeShade="BF"/>
          <w:sz w:val="16"/>
        </w:rPr>
        <w:t xml:space="preserve">, dalle Camere di Commercio Italiane all’Estero operanti in </w:t>
      </w:r>
      <w:r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Belgio</w:t>
      </w:r>
      <w:r w:rsidRPr="00323D95">
        <w:rPr>
          <w:rFonts w:ascii="Open Sans" w:hAnsi="Open Sans" w:cs="Open Sans"/>
          <w:color w:val="365F91" w:themeColor="accent1" w:themeShade="BF"/>
          <w:sz w:val="16"/>
        </w:rPr>
        <w:t xml:space="preserve"> (Bruxelles), </w:t>
      </w:r>
      <w:r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Cina</w:t>
      </w:r>
      <w:r w:rsidRPr="00323D95">
        <w:rPr>
          <w:rFonts w:ascii="Open Sans" w:hAnsi="Open Sans" w:cs="Open Sans"/>
          <w:color w:val="365F91" w:themeColor="accent1" w:themeShade="BF"/>
          <w:sz w:val="16"/>
        </w:rPr>
        <w:t xml:space="preserve"> (Pechino, Hong Kong), </w:t>
      </w:r>
      <w:r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Francia</w:t>
      </w:r>
      <w:r w:rsidRPr="00323D95">
        <w:rPr>
          <w:rFonts w:ascii="Open Sans" w:hAnsi="Open Sans" w:cs="Open Sans"/>
          <w:color w:val="365F91" w:themeColor="accent1" w:themeShade="BF"/>
          <w:sz w:val="16"/>
        </w:rPr>
        <w:t xml:space="preserve"> (Marsiglia, Nizza, Lione), </w:t>
      </w:r>
      <w:r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Germania</w:t>
      </w:r>
      <w:r w:rsidRPr="00323D95">
        <w:rPr>
          <w:rFonts w:ascii="Open Sans" w:hAnsi="Open Sans" w:cs="Open Sans"/>
          <w:color w:val="365F91" w:themeColor="accent1" w:themeShade="BF"/>
          <w:sz w:val="16"/>
        </w:rPr>
        <w:t xml:space="preserve"> (Francoforte e Monaco), </w:t>
      </w:r>
      <w:r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Giappone</w:t>
      </w:r>
      <w:r w:rsidRPr="00323D95">
        <w:rPr>
          <w:rFonts w:ascii="Open Sans" w:hAnsi="Open Sans" w:cs="Open Sans"/>
          <w:color w:val="365F91" w:themeColor="accent1" w:themeShade="BF"/>
          <w:sz w:val="16"/>
        </w:rPr>
        <w:t xml:space="preserve"> (Tokyo), </w:t>
      </w:r>
      <w:r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Lussemburgo</w:t>
      </w:r>
      <w:r w:rsidRPr="00323D95">
        <w:rPr>
          <w:rFonts w:ascii="Open Sans" w:hAnsi="Open Sans" w:cs="Open Sans"/>
          <w:color w:val="365F91" w:themeColor="accent1" w:themeShade="BF"/>
          <w:sz w:val="16"/>
        </w:rPr>
        <w:t xml:space="preserve"> (Lussemburgo), </w:t>
      </w:r>
      <w:r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Olanda</w:t>
      </w:r>
      <w:r w:rsidRPr="00323D95">
        <w:rPr>
          <w:rFonts w:ascii="Open Sans" w:hAnsi="Open Sans" w:cs="Open Sans"/>
          <w:color w:val="365F91" w:themeColor="accent1" w:themeShade="BF"/>
          <w:sz w:val="16"/>
        </w:rPr>
        <w:t xml:space="preserve"> (Amsterdam), </w:t>
      </w:r>
      <w:r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Polonia</w:t>
      </w:r>
      <w:r w:rsidRPr="00323D95">
        <w:rPr>
          <w:rFonts w:ascii="Open Sans" w:hAnsi="Open Sans" w:cs="Open Sans"/>
          <w:color w:val="365F91" w:themeColor="accent1" w:themeShade="BF"/>
          <w:sz w:val="16"/>
        </w:rPr>
        <w:t xml:space="preserve"> (Varsavia), </w:t>
      </w:r>
      <w:r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Regno Unito</w:t>
      </w:r>
      <w:r w:rsidRPr="00323D95">
        <w:rPr>
          <w:rFonts w:ascii="Open Sans" w:hAnsi="Open Sans" w:cs="Open Sans"/>
          <w:color w:val="365F91" w:themeColor="accent1" w:themeShade="BF"/>
          <w:sz w:val="16"/>
        </w:rPr>
        <w:t xml:space="preserve"> (Londra), </w:t>
      </w:r>
      <w:r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Repubblica Ceca</w:t>
      </w:r>
      <w:r w:rsidRPr="00323D95">
        <w:rPr>
          <w:rFonts w:ascii="Open Sans" w:hAnsi="Open Sans" w:cs="Open Sans"/>
          <w:color w:val="365F91" w:themeColor="accent1" w:themeShade="BF"/>
          <w:sz w:val="16"/>
        </w:rPr>
        <w:t xml:space="preserve"> (Praga), </w:t>
      </w:r>
      <w:r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Romania</w:t>
      </w:r>
      <w:r w:rsidRPr="00323D95">
        <w:rPr>
          <w:rFonts w:ascii="Open Sans" w:hAnsi="Open Sans" w:cs="Open Sans"/>
          <w:color w:val="365F91" w:themeColor="accent1" w:themeShade="BF"/>
          <w:sz w:val="16"/>
        </w:rPr>
        <w:t xml:space="preserve"> (Bucarest), </w:t>
      </w:r>
      <w:r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Russia</w:t>
      </w:r>
      <w:r w:rsidRPr="00323D95">
        <w:rPr>
          <w:rFonts w:ascii="Open Sans" w:hAnsi="Open Sans" w:cs="Open Sans"/>
          <w:color w:val="365F91" w:themeColor="accent1" w:themeShade="BF"/>
          <w:sz w:val="16"/>
        </w:rPr>
        <w:t xml:space="preserve"> (Mosca), </w:t>
      </w:r>
      <w:r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Spagna</w:t>
      </w:r>
      <w:r w:rsidRPr="00323D95">
        <w:rPr>
          <w:rFonts w:ascii="Open Sans" w:hAnsi="Open Sans" w:cs="Open Sans"/>
          <w:color w:val="365F91" w:themeColor="accent1" w:themeShade="BF"/>
          <w:sz w:val="16"/>
        </w:rPr>
        <w:t xml:space="preserve"> (Madrid, Barcellona), </w:t>
      </w:r>
      <w:r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Stati Uniti</w:t>
      </w:r>
      <w:r w:rsidRPr="00323D95">
        <w:rPr>
          <w:rFonts w:ascii="Open Sans" w:hAnsi="Open Sans" w:cs="Open Sans"/>
          <w:color w:val="365F91" w:themeColor="accent1" w:themeShade="BF"/>
          <w:sz w:val="16"/>
        </w:rPr>
        <w:t xml:space="preserve"> (Chicago, New York, Houston, Los Angeles, Miami), </w:t>
      </w:r>
      <w:r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Svizzera</w:t>
      </w:r>
      <w:r w:rsidRPr="00323D95">
        <w:rPr>
          <w:rFonts w:ascii="Open Sans" w:hAnsi="Open Sans" w:cs="Open Sans"/>
          <w:color w:val="365F91" w:themeColor="accent1" w:themeShade="BF"/>
          <w:sz w:val="16"/>
        </w:rPr>
        <w:t xml:space="preserve"> (Zurigo), </w:t>
      </w:r>
      <w:r w:rsidRPr="00323D95">
        <w:rPr>
          <w:rFonts w:ascii="Open Sans" w:hAnsi="Open Sans" w:cs="Open Sans"/>
          <w:b/>
          <w:i/>
          <w:color w:val="365F91" w:themeColor="accent1" w:themeShade="BF"/>
          <w:sz w:val="16"/>
        </w:rPr>
        <w:t>Turchia</w:t>
      </w:r>
      <w:r w:rsidRPr="00323D95">
        <w:rPr>
          <w:rFonts w:ascii="Open Sans" w:hAnsi="Open Sans" w:cs="Open Sans"/>
          <w:color w:val="365F91" w:themeColor="accent1" w:themeShade="BF"/>
          <w:sz w:val="16"/>
        </w:rPr>
        <w:t xml:space="preserve"> (Istanbul, Izmir).</w:t>
      </w:r>
      <w:r w:rsidRPr="00323D95">
        <w:rPr>
          <w:rFonts w:ascii="Open Sans" w:hAnsi="Open Sans" w:cs="Open Sans"/>
          <w:sz w:val="16"/>
        </w:rPr>
        <w:t xml:space="preserve"> </w:t>
      </w:r>
    </w:p>
  </w:footnote>
  <w:footnote w:id="3">
    <w:p w:rsidR="00DD72CB" w:rsidRPr="00B71BD1" w:rsidRDefault="00DD72CB" w:rsidP="00B71BD1">
      <w:pPr>
        <w:pStyle w:val="Testonotaapidipagina"/>
        <w:spacing w:before="120"/>
        <w:jc w:val="both"/>
        <w:rPr>
          <w:rFonts w:ascii="Open Sans" w:hAnsi="Open Sans" w:cs="Open Sans"/>
          <w:color w:val="365F91" w:themeColor="accent1" w:themeShade="BF"/>
          <w:sz w:val="16"/>
        </w:rPr>
      </w:pPr>
      <w:r w:rsidRPr="00B71BD1">
        <w:rPr>
          <w:rStyle w:val="Rimandonotaapidipagina"/>
          <w:color w:val="365F91" w:themeColor="accent1" w:themeShade="BF"/>
        </w:rPr>
        <w:footnoteRef/>
      </w:r>
      <w:r w:rsidRPr="00B71BD1">
        <w:rPr>
          <w:color w:val="365F91" w:themeColor="accent1" w:themeShade="BF"/>
        </w:rPr>
        <w:t xml:space="preserve"> </w:t>
      </w:r>
      <w:r w:rsidRPr="00B71BD1">
        <w:rPr>
          <w:rFonts w:ascii="Open Sans" w:hAnsi="Open Sans" w:cs="Open Sans"/>
          <w:color w:val="365F91" w:themeColor="accent1" w:themeShade="BF"/>
          <w:sz w:val="16"/>
        </w:rPr>
        <w:t>Ai sensi del Regolamento UE n. 1407/2013 del 18 dicembre 2013, si intende per “impresa unica” l’insieme delle imprese, all’interno dello stesso</w:t>
      </w:r>
      <w:r w:rsidR="00B71BD1" w:rsidRPr="00B71BD1">
        <w:rPr>
          <w:rFonts w:ascii="Open Sans" w:hAnsi="Open Sans" w:cs="Open Sans"/>
          <w:color w:val="365F91" w:themeColor="accent1" w:themeShade="BF"/>
          <w:sz w:val="16"/>
        </w:rPr>
        <w:t xml:space="preserve"> </w:t>
      </w:r>
      <w:r w:rsidRPr="00B71BD1">
        <w:rPr>
          <w:rFonts w:ascii="Open Sans" w:hAnsi="Open Sans" w:cs="Open Sans"/>
          <w:color w:val="365F91" w:themeColor="accent1" w:themeShade="BF"/>
          <w:sz w:val="16"/>
        </w:rPr>
        <w:t>Stato, fra le quali esiste almeno una delle relazioni seguenti:</w:t>
      </w:r>
    </w:p>
    <w:p w:rsidR="00DD72CB" w:rsidRPr="00B71BD1" w:rsidRDefault="00DD72CB" w:rsidP="00B71BD1">
      <w:pPr>
        <w:pStyle w:val="Testonotaapidipagina"/>
        <w:jc w:val="both"/>
        <w:rPr>
          <w:rFonts w:ascii="Open Sans" w:hAnsi="Open Sans" w:cs="Open Sans"/>
          <w:color w:val="365F91" w:themeColor="accent1" w:themeShade="BF"/>
          <w:sz w:val="16"/>
        </w:rPr>
      </w:pPr>
      <w:r w:rsidRPr="00B71BD1">
        <w:rPr>
          <w:rFonts w:ascii="Open Sans" w:hAnsi="Open Sans" w:cs="Open Sans"/>
          <w:color w:val="365F91" w:themeColor="accent1" w:themeShade="BF"/>
          <w:sz w:val="16"/>
        </w:rPr>
        <w:t>a) un’impresa detiene la maggioranza dei diritti di voto degli azionisti o soci di un’altra impresa;</w:t>
      </w:r>
    </w:p>
    <w:p w:rsidR="00DD72CB" w:rsidRPr="00B71BD1" w:rsidRDefault="00DD72CB" w:rsidP="00B71BD1">
      <w:pPr>
        <w:pStyle w:val="Testonotaapidipagina"/>
        <w:jc w:val="both"/>
        <w:rPr>
          <w:rFonts w:ascii="Open Sans" w:hAnsi="Open Sans" w:cs="Open Sans"/>
          <w:color w:val="365F91" w:themeColor="accent1" w:themeShade="BF"/>
          <w:sz w:val="16"/>
        </w:rPr>
      </w:pPr>
      <w:r w:rsidRPr="00B71BD1">
        <w:rPr>
          <w:rFonts w:ascii="Open Sans" w:hAnsi="Open Sans" w:cs="Open Sans"/>
          <w:color w:val="365F91" w:themeColor="accent1" w:themeShade="BF"/>
          <w:sz w:val="16"/>
        </w:rPr>
        <w:t>b) un’impresa ha il diritto di nominare o revocare la maggioranza dei membri del consiglio di amministrazione, direzione o sorveglianza di</w:t>
      </w:r>
      <w:r w:rsidR="00B71BD1" w:rsidRPr="00B71BD1">
        <w:rPr>
          <w:rFonts w:ascii="Open Sans" w:hAnsi="Open Sans" w:cs="Open Sans"/>
          <w:color w:val="365F91" w:themeColor="accent1" w:themeShade="BF"/>
          <w:sz w:val="16"/>
        </w:rPr>
        <w:t xml:space="preserve"> </w:t>
      </w:r>
      <w:r w:rsidRPr="00B71BD1">
        <w:rPr>
          <w:rFonts w:ascii="Open Sans" w:hAnsi="Open Sans" w:cs="Open Sans"/>
          <w:color w:val="365F91" w:themeColor="accent1" w:themeShade="BF"/>
          <w:sz w:val="16"/>
        </w:rPr>
        <w:t>un’altra impresa;</w:t>
      </w:r>
    </w:p>
    <w:p w:rsidR="00DD72CB" w:rsidRPr="00B71BD1" w:rsidRDefault="00DD72CB" w:rsidP="00B71BD1">
      <w:pPr>
        <w:pStyle w:val="Testonotaapidipagina"/>
        <w:jc w:val="both"/>
        <w:rPr>
          <w:rFonts w:ascii="Open Sans" w:hAnsi="Open Sans" w:cs="Open Sans"/>
          <w:color w:val="365F91" w:themeColor="accent1" w:themeShade="BF"/>
          <w:sz w:val="16"/>
        </w:rPr>
      </w:pPr>
      <w:r w:rsidRPr="00B71BD1">
        <w:rPr>
          <w:rFonts w:ascii="Open Sans" w:hAnsi="Open Sans" w:cs="Open Sans"/>
          <w:color w:val="365F91" w:themeColor="accent1" w:themeShade="BF"/>
          <w:sz w:val="16"/>
        </w:rPr>
        <w:t>c) un’impresa ha il diritto di esercitare un’influenza dominante su un’altra impresa in virtù di un contratto concluso con quest’ultima oppure in</w:t>
      </w:r>
      <w:r w:rsidR="00B71BD1" w:rsidRPr="00B71BD1">
        <w:rPr>
          <w:rFonts w:ascii="Open Sans" w:hAnsi="Open Sans" w:cs="Open Sans"/>
          <w:color w:val="365F91" w:themeColor="accent1" w:themeShade="BF"/>
          <w:sz w:val="16"/>
        </w:rPr>
        <w:t xml:space="preserve"> </w:t>
      </w:r>
      <w:r w:rsidRPr="00B71BD1">
        <w:rPr>
          <w:rFonts w:ascii="Open Sans" w:hAnsi="Open Sans" w:cs="Open Sans"/>
          <w:color w:val="365F91" w:themeColor="accent1" w:themeShade="BF"/>
          <w:sz w:val="16"/>
        </w:rPr>
        <w:t>virtù di una clausola dello statuto di quest’ultima;</w:t>
      </w:r>
    </w:p>
    <w:p w:rsidR="00DD72CB" w:rsidRPr="00B71BD1" w:rsidRDefault="00DD72CB" w:rsidP="00B71BD1">
      <w:pPr>
        <w:pStyle w:val="Testonotaapidipagina"/>
        <w:jc w:val="both"/>
        <w:rPr>
          <w:rFonts w:ascii="Open Sans" w:hAnsi="Open Sans" w:cs="Open Sans"/>
          <w:color w:val="365F91" w:themeColor="accent1" w:themeShade="BF"/>
          <w:sz w:val="16"/>
        </w:rPr>
      </w:pPr>
      <w:r w:rsidRPr="00B71BD1">
        <w:rPr>
          <w:rFonts w:ascii="Open Sans" w:hAnsi="Open Sans" w:cs="Open Sans"/>
          <w:color w:val="365F91" w:themeColor="accent1" w:themeShade="BF"/>
          <w:sz w:val="16"/>
        </w:rPr>
        <w:t>d) un’impresa azionista o socia di un’altra impresa controlla da sola, in virtù di un accordo stipulato con altri azionisti o soci dell’altra impresa, la</w:t>
      </w:r>
      <w:r w:rsidR="00B71BD1" w:rsidRPr="00B71BD1">
        <w:rPr>
          <w:rFonts w:ascii="Open Sans" w:hAnsi="Open Sans" w:cs="Open Sans"/>
          <w:color w:val="365F91" w:themeColor="accent1" w:themeShade="BF"/>
          <w:sz w:val="16"/>
        </w:rPr>
        <w:t xml:space="preserve"> </w:t>
      </w:r>
      <w:r w:rsidRPr="00B71BD1">
        <w:rPr>
          <w:rFonts w:ascii="Open Sans" w:hAnsi="Open Sans" w:cs="Open Sans"/>
          <w:color w:val="365F91" w:themeColor="accent1" w:themeShade="BF"/>
          <w:sz w:val="16"/>
        </w:rPr>
        <w:t>maggioranza dei diritti di voto degli azionisti o soci di quest’ultima.</w:t>
      </w:r>
    </w:p>
    <w:p w:rsidR="00DD72CB" w:rsidRPr="00B71BD1" w:rsidRDefault="00DD72CB" w:rsidP="00B71BD1">
      <w:pPr>
        <w:pStyle w:val="Testonotaapidipagina"/>
        <w:jc w:val="both"/>
        <w:rPr>
          <w:rFonts w:ascii="Open Sans" w:hAnsi="Open Sans" w:cs="Open Sans"/>
          <w:color w:val="365F91" w:themeColor="accent1" w:themeShade="BF"/>
          <w:sz w:val="16"/>
        </w:rPr>
      </w:pPr>
      <w:r w:rsidRPr="00B71BD1">
        <w:rPr>
          <w:rFonts w:ascii="Open Sans" w:hAnsi="Open Sans" w:cs="Open Sans"/>
          <w:color w:val="365F91" w:themeColor="accent1" w:themeShade="BF"/>
          <w:sz w:val="16"/>
        </w:rPr>
        <w:t>Le imprese fra le quali intercorre una delle relazioni di cui al precedente periodo, lettere da a) a d), per il tramite di una o più altre imprese sono</w:t>
      </w:r>
      <w:r w:rsidR="00B71BD1" w:rsidRPr="00B71BD1">
        <w:rPr>
          <w:rFonts w:ascii="Open Sans" w:hAnsi="Open Sans" w:cs="Open Sans"/>
          <w:color w:val="365F91" w:themeColor="accent1" w:themeShade="BF"/>
          <w:sz w:val="16"/>
        </w:rPr>
        <w:t xml:space="preserve"> </w:t>
      </w:r>
      <w:r w:rsidRPr="00B71BD1">
        <w:rPr>
          <w:rFonts w:ascii="Open Sans" w:hAnsi="Open Sans" w:cs="Open Sans"/>
          <w:color w:val="365F91" w:themeColor="accent1" w:themeShade="BF"/>
          <w:sz w:val="16"/>
        </w:rPr>
        <w:t>anch’esse considerate un’impresa unica.</w:t>
      </w:r>
      <w:r w:rsidR="00B71BD1" w:rsidRPr="00B71BD1">
        <w:rPr>
          <w:rFonts w:ascii="Open Sans" w:hAnsi="Open Sans" w:cs="Open Sans"/>
          <w:color w:val="365F91" w:themeColor="accent1" w:themeShade="BF"/>
          <w:sz w:val="16"/>
        </w:rPr>
        <w:t xml:space="preserve"> </w:t>
      </w:r>
      <w:r w:rsidRPr="00B71BD1">
        <w:rPr>
          <w:rFonts w:ascii="Open Sans" w:hAnsi="Open Sans" w:cs="Open Sans"/>
          <w:color w:val="365F91" w:themeColor="accent1" w:themeShade="BF"/>
          <w:sz w:val="16"/>
        </w:rPr>
        <w:t>Si escludono dal perimetro dell’impresa unica, le imprese collegate tra loro per il tramite di un organismo pubblico o di persone fisiche.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70CA"/>
    <w:multiLevelType w:val="hybridMultilevel"/>
    <w:tmpl w:val="8F56692A"/>
    <w:lvl w:ilvl="0" w:tplc="B87850D0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2787"/>
    <w:multiLevelType w:val="hybridMultilevel"/>
    <w:tmpl w:val="28CA3250"/>
    <w:lvl w:ilvl="0" w:tplc="B87850D0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D85923"/>
    <w:multiLevelType w:val="hybridMultilevel"/>
    <w:tmpl w:val="CDC463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6477F"/>
    <w:multiLevelType w:val="hybridMultilevel"/>
    <w:tmpl w:val="64EC32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2CB"/>
    <w:rsid w:val="0002384C"/>
    <w:rsid w:val="00047D1C"/>
    <w:rsid w:val="00062E24"/>
    <w:rsid w:val="000C74E8"/>
    <w:rsid w:val="001362E4"/>
    <w:rsid w:val="001447A4"/>
    <w:rsid w:val="001572CB"/>
    <w:rsid w:val="00226761"/>
    <w:rsid w:val="00251392"/>
    <w:rsid w:val="00257A22"/>
    <w:rsid w:val="002F3E4D"/>
    <w:rsid w:val="0030044F"/>
    <w:rsid w:val="00323D95"/>
    <w:rsid w:val="00330310"/>
    <w:rsid w:val="00335F0E"/>
    <w:rsid w:val="004420FF"/>
    <w:rsid w:val="004A6B2A"/>
    <w:rsid w:val="00572516"/>
    <w:rsid w:val="005A1BED"/>
    <w:rsid w:val="005B43D0"/>
    <w:rsid w:val="005E6851"/>
    <w:rsid w:val="006830BB"/>
    <w:rsid w:val="00687911"/>
    <w:rsid w:val="00723A2C"/>
    <w:rsid w:val="007464FA"/>
    <w:rsid w:val="007D635C"/>
    <w:rsid w:val="0082102B"/>
    <w:rsid w:val="00875B48"/>
    <w:rsid w:val="008D149C"/>
    <w:rsid w:val="00905DE1"/>
    <w:rsid w:val="00914F83"/>
    <w:rsid w:val="0093510F"/>
    <w:rsid w:val="00935EEF"/>
    <w:rsid w:val="0097740A"/>
    <w:rsid w:val="00987348"/>
    <w:rsid w:val="00A33126"/>
    <w:rsid w:val="00AC6049"/>
    <w:rsid w:val="00B20184"/>
    <w:rsid w:val="00B634A6"/>
    <w:rsid w:val="00B658F7"/>
    <w:rsid w:val="00B67753"/>
    <w:rsid w:val="00B71BD1"/>
    <w:rsid w:val="00B874AA"/>
    <w:rsid w:val="00C0370B"/>
    <w:rsid w:val="00C105EA"/>
    <w:rsid w:val="00C46351"/>
    <w:rsid w:val="00C674AA"/>
    <w:rsid w:val="00C76A9F"/>
    <w:rsid w:val="00CA6AD6"/>
    <w:rsid w:val="00CD4E2C"/>
    <w:rsid w:val="00D14866"/>
    <w:rsid w:val="00D250C5"/>
    <w:rsid w:val="00D31440"/>
    <w:rsid w:val="00D6223E"/>
    <w:rsid w:val="00DD72CB"/>
    <w:rsid w:val="00DE029A"/>
    <w:rsid w:val="00DE1125"/>
    <w:rsid w:val="00E4199E"/>
    <w:rsid w:val="00E50DE3"/>
    <w:rsid w:val="00E73344"/>
    <w:rsid w:val="00EA04EC"/>
    <w:rsid w:val="00EA5AA5"/>
    <w:rsid w:val="00EC2E65"/>
    <w:rsid w:val="00ED34D3"/>
    <w:rsid w:val="00EF0623"/>
    <w:rsid w:val="00F20181"/>
    <w:rsid w:val="00F263C3"/>
    <w:rsid w:val="00F6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A7FC"/>
  <w15:docId w15:val="{13238430-A765-41E5-84CD-E8778E36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D72C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D72C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D72C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A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14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56E21-EC93-4CEF-B40F-9A9AC73A3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cp</Company>
  <LinksUpToDate>false</LinksUpToDate>
  <CharactersWithSpaces>10931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mauriello</dc:creator>
  <cp:lastModifiedBy>Acer</cp:lastModifiedBy>
  <cp:revision>25</cp:revision>
  <cp:lastPrinted>2020-11-04T11:06:00Z</cp:lastPrinted>
  <dcterms:created xsi:type="dcterms:W3CDTF">2020-09-25T11:26:00Z</dcterms:created>
  <dcterms:modified xsi:type="dcterms:W3CDTF">2020-11-05T15:54:00Z</dcterms:modified>
</cp:coreProperties>
</file>